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仿宋"/>
          <w:sz w:val="32"/>
          <w:szCs w:val="32"/>
        </w:rPr>
      </w:pPr>
    </w:p>
    <w:p>
      <w:pPr>
        <w:jc w:val="center"/>
        <w:rPr>
          <w:rFonts w:eastAsia="仿宋"/>
          <w:sz w:val="32"/>
          <w:szCs w:val="32"/>
        </w:rPr>
      </w:pPr>
    </w:p>
    <w:p>
      <w:pPr>
        <w:jc w:val="center"/>
        <w:rPr>
          <w:rFonts w:eastAsia="仿宋"/>
          <w:sz w:val="32"/>
          <w:szCs w:val="32"/>
        </w:rPr>
      </w:pPr>
    </w:p>
    <w:p>
      <w:pPr>
        <w:jc w:val="center"/>
        <w:rPr>
          <w:rFonts w:hint="eastAsia" w:eastAsia="仿宋"/>
          <w:sz w:val="32"/>
          <w:szCs w:val="32"/>
        </w:rPr>
      </w:pPr>
      <w:r>
        <w:rPr>
          <w:rFonts w:eastAsia="仿宋"/>
          <w:sz w:val="32"/>
          <w:szCs w:val="32"/>
        </w:rPr>
        <w:tab/>
      </w:r>
    </w:p>
    <w:p>
      <w:pPr>
        <w:ind w:firstLine="0" w:firstLineChars="0"/>
        <w:jc w:val="center"/>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广东省社会科学院202</w:t>
      </w:r>
      <w:r>
        <w:rPr>
          <w:rFonts w:hint="eastAsia" w:ascii="方正小标宋_GBK" w:hAnsi="方正小标宋_GBK" w:eastAsia="方正小标宋_GBK" w:cs="方正小标宋_GBK"/>
          <w:sz w:val="52"/>
          <w:szCs w:val="52"/>
          <w:lang w:val="en-US" w:eastAsia="zh-CN"/>
        </w:rPr>
        <w:t>3</w:t>
      </w:r>
      <w:r>
        <w:rPr>
          <w:rFonts w:hint="eastAsia" w:ascii="方正小标宋_GBK" w:hAnsi="方正小标宋_GBK" w:eastAsia="方正小标宋_GBK" w:cs="方正小标宋_GBK"/>
          <w:sz w:val="52"/>
          <w:szCs w:val="52"/>
        </w:rPr>
        <w:t>年度</w:t>
      </w:r>
    </w:p>
    <w:p>
      <w:pPr>
        <w:ind w:firstLine="0" w:firstLineChars="0"/>
        <w:jc w:val="center"/>
        <w:outlineLvl w:val="0"/>
        <w:rPr>
          <w:rFonts w:hint="eastAsia" w:ascii="方正小标宋_GBK" w:hAnsi="方正小标宋_GBK" w:eastAsia="方正小标宋_GBK" w:cs="方正小标宋_GBK"/>
          <w:sz w:val="52"/>
          <w:szCs w:val="52"/>
        </w:rPr>
      </w:pPr>
      <w:bookmarkStart w:id="0" w:name="_Toc11279"/>
      <w:bookmarkStart w:id="1" w:name="_Toc30295"/>
      <w:bookmarkStart w:id="2" w:name="_Toc11221"/>
      <w:bookmarkStart w:id="3" w:name="_Toc6997"/>
      <w:r>
        <w:rPr>
          <w:rFonts w:hint="eastAsia" w:ascii="方正小标宋_GBK" w:hAnsi="方正小标宋_GBK" w:eastAsia="方正小标宋_GBK" w:cs="方正小标宋_GBK"/>
          <w:sz w:val="52"/>
          <w:szCs w:val="52"/>
        </w:rPr>
        <w:t>研究生教育发展质量报告</w:t>
      </w:r>
      <w:bookmarkEnd w:id="0"/>
      <w:bookmarkEnd w:id="1"/>
      <w:bookmarkEnd w:id="2"/>
      <w:bookmarkEnd w:id="3"/>
    </w:p>
    <w:p>
      <w:pPr>
        <w:ind w:firstLine="1040"/>
        <w:jc w:val="center"/>
        <w:rPr>
          <w:rFonts w:hint="eastAsia" w:ascii="方正小标宋_GBK" w:hAnsi="方正小标宋_GBK" w:eastAsia="方正小标宋_GBK" w:cs="方正小标宋_GBK"/>
          <w:sz w:val="52"/>
          <w:szCs w:val="52"/>
        </w:rPr>
      </w:pPr>
    </w:p>
    <w:p>
      <w:pPr>
        <w:ind w:firstLine="1040"/>
        <w:jc w:val="center"/>
        <w:rPr>
          <w:rFonts w:hint="eastAsia" w:ascii="方正小标宋_GBK" w:hAnsi="方正小标宋_GBK" w:eastAsia="方正小标宋_GBK" w:cs="方正小标宋_GBK"/>
          <w:sz w:val="52"/>
          <w:szCs w:val="52"/>
        </w:rPr>
      </w:pPr>
    </w:p>
    <w:p>
      <w:pPr>
        <w:ind w:firstLine="560"/>
        <w:jc w:val="center"/>
        <w:rPr>
          <w:rFonts w:hint="eastAsia" w:ascii="楷体" w:hAnsi="楷体" w:eastAsia="楷体" w:cs="楷体"/>
          <w:sz w:val="28"/>
          <w:szCs w:val="28"/>
        </w:rPr>
      </w:pPr>
    </w:p>
    <w:p>
      <w:pPr>
        <w:ind w:firstLine="560"/>
        <w:jc w:val="center"/>
        <w:rPr>
          <w:rFonts w:hint="eastAsia" w:ascii="楷体" w:hAnsi="楷体" w:eastAsia="楷体" w:cs="楷体"/>
          <w:sz w:val="28"/>
          <w:szCs w:val="28"/>
        </w:rPr>
      </w:pPr>
    </w:p>
    <w:p>
      <w:pPr>
        <w:ind w:firstLine="560"/>
        <w:jc w:val="center"/>
        <w:rPr>
          <w:rFonts w:hint="eastAsia" w:ascii="楷体" w:hAnsi="楷体" w:eastAsia="楷体" w:cs="楷体"/>
          <w:sz w:val="28"/>
          <w:szCs w:val="28"/>
        </w:rPr>
      </w:pPr>
    </w:p>
    <w:p>
      <w:pPr>
        <w:ind w:firstLine="560"/>
        <w:jc w:val="center"/>
        <w:rPr>
          <w:rFonts w:hint="eastAsia" w:ascii="楷体" w:hAnsi="楷体" w:eastAsia="楷体" w:cs="楷体"/>
          <w:sz w:val="28"/>
          <w:szCs w:val="28"/>
        </w:rPr>
      </w:pPr>
    </w:p>
    <w:p>
      <w:pPr>
        <w:ind w:firstLine="560"/>
        <w:jc w:val="center"/>
        <w:rPr>
          <w:rFonts w:hint="eastAsia" w:ascii="楷体" w:hAnsi="楷体" w:eastAsia="楷体" w:cs="楷体"/>
          <w:sz w:val="28"/>
          <w:szCs w:val="28"/>
        </w:rPr>
      </w:pPr>
    </w:p>
    <w:p>
      <w:pPr>
        <w:ind w:firstLine="560"/>
        <w:jc w:val="center"/>
        <w:rPr>
          <w:rFonts w:hint="eastAsia" w:ascii="楷体" w:hAnsi="楷体" w:eastAsia="楷体" w:cs="楷体"/>
          <w:sz w:val="28"/>
          <w:szCs w:val="28"/>
        </w:rPr>
      </w:pPr>
    </w:p>
    <w:p>
      <w:pPr>
        <w:ind w:firstLine="560"/>
        <w:jc w:val="center"/>
        <w:rPr>
          <w:rFonts w:hint="eastAsia" w:ascii="楷体" w:hAnsi="楷体" w:eastAsia="楷体" w:cs="楷体"/>
          <w:sz w:val="28"/>
          <w:szCs w:val="28"/>
        </w:rPr>
      </w:pPr>
    </w:p>
    <w:p>
      <w:pPr>
        <w:ind w:firstLine="560"/>
        <w:jc w:val="center"/>
        <w:rPr>
          <w:rFonts w:hint="eastAsia" w:ascii="楷体" w:hAnsi="楷体" w:eastAsia="楷体" w:cs="楷体"/>
          <w:sz w:val="28"/>
          <w:szCs w:val="28"/>
        </w:rPr>
      </w:pPr>
    </w:p>
    <w:p>
      <w:pPr>
        <w:ind w:firstLine="560"/>
        <w:rPr>
          <w:rFonts w:hint="eastAsia" w:ascii="楷体" w:hAnsi="楷体" w:eastAsia="楷体" w:cs="楷体"/>
          <w:sz w:val="28"/>
          <w:szCs w:val="28"/>
        </w:rPr>
      </w:pPr>
    </w:p>
    <w:p>
      <w:pPr>
        <w:spacing w:after="312" w:afterLines="100"/>
        <w:ind w:firstLine="0" w:firstLineChars="0"/>
        <w:jc w:val="center"/>
        <w:rPr>
          <w:rFonts w:hint="eastAsia" w:ascii="楷体" w:hAnsi="楷体" w:eastAsia="楷体" w:cs="楷体"/>
          <w:szCs w:val="24"/>
        </w:rPr>
      </w:pPr>
      <w:r>
        <w:rPr>
          <w:rFonts w:hint="eastAsia" w:ascii="楷体" w:hAnsi="楷体" w:eastAsia="楷体" w:cs="楷体"/>
          <w:sz w:val="44"/>
          <w:szCs w:val="44"/>
        </w:rPr>
        <w:t>广东省社会科学院</w:t>
      </w:r>
    </w:p>
    <w:p>
      <w:pPr>
        <w:ind w:firstLine="0" w:firstLineChars="0"/>
        <w:jc w:val="center"/>
        <w:rPr>
          <w:rFonts w:hint="eastAsia" w:ascii="楷体" w:hAnsi="楷体" w:eastAsia="楷体" w:cs="楷体"/>
          <w:sz w:val="44"/>
          <w:szCs w:val="44"/>
        </w:rPr>
      </w:pPr>
      <w:r>
        <w:rPr>
          <w:rFonts w:hint="eastAsia" w:ascii="楷体" w:hAnsi="楷体" w:eastAsia="楷体" w:cs="楷体"/>
          <w:sz w:val="44"/>
          <w:szCs w:val="44"/>
        </w:rPr>
        <w:t>202</w:t>
      </w:r>
      <w:r>
        <w:rPr>
          <w:rFonts w:hint="eastAsia" w:ascii="楷体" w:hAnsi="楷体" w:eastAsia="楷体" w:cs="楷体"/>
          <w:sz w:val="44"/>
          <w:szCs w:val="44"/>
          <w:lang w:val="en-US" w:eastAsia="zh-CN"/>
        </w:rPr>
        <w:t>4</w:t>
      </w:r>
      <w:r>
        <w:rPr>
          <w:rFonts w:hint="eastAsia" w:ascii="楷体" w:hAnsi="楷体" w:eastAsia="楷体" w:cs="楷体"/>
          <w:sz w:val="44"/>
          <w:szCs w:val="44"/>
        </w:rPr>
        <w:t>年3月</w:t>
      </w:r>
    </w:p>
    <w:p>
      <w:pPr>
        <w:pStyle w:val="3"/>
        <w:keepNext w:val="0"/>
        <w:keepLines w:val="0"/>
        <w:widowControl w:val="0"/>
        <w:jc w:val="center"/>
        <w:sectPr>
          <w:headerReference r:id="rId7" w:type="first"/>
          <w:footerReference r:id="rId10" w:type="first"/>
          <w:headerReference r:id="rId5" w:type="default"/>
          <w:footerReference r:id="rId8" w:type="default"/>
          <w:headerReference r:id="rId6" w:type="even"/>
          <w:footerReference r:id="rId9" w:type="even"/>
          <w:footnotePr>
            <w:numFmt w:val="decimalEnclosedCircleChinese"/>
            <w:numRestart w:val="eachPage"/>
          </w:footnotePr>
          <w:pgSz w:w="11906" w:h="16838"/>
          <w:pgMar w:top="1440" w:right="1800" w:bottom="1440" w:left="1800" w:header="851" w:footer="992" w:gutter="0"/>
          <w:pgBorders>
            <w:top w:val="none" w:sz="0" w:space="0"/>
            <w:left w:val="none" w:sz="0" w:space="0"/>
            <w:bottom w:val="none" w:sz="0" w:space="0"/>
            <w:right w:val="none" w:sz="0" w:space="0"/>
          </w:pgBorders>
          <w:pgNumType w:fmt="upperRoman" w:start="1"/>
          <w:cols w:space="720" w:num="1"/>
          <w:docGrid w:type="lines" w:linePitch="312" w:charSpace="0"/>
        </w:sectPr>
      </w:pPr>
      <w:bookmarkStart w:id="4" w:name="_Toc22328"/>
      <w:bookmarkStart w:id="5" w:name="_Toc127791641"/>
      <w:bookmarkStart w:id="6" w:name="_Toc15994"/>
      <w:bookmarkStart w:id="7" w:name="_Toc1564"/>
      <w:bookmarkStart w:id="8" w:name="_Toc127791860"/>
    </w:p>
    <w:p>
      <w:pPr>
        <w:pStyle w:val="3"/>
        <w:keepNext w:val="0"/>
        <w:keepLines w:val="0"/>
        <w:widowControl w:val="0"/>
        <w:jc w:val="center"/>
      </w:pPr>
      <w:bookmarkStart w:id="9" w:name="_Toc10704"/>
      <w:r>
        <w:t>目</w:t>
      </w:r>
      <w:r>
        <w:rPr>
          <w:rFonts w:hint="eastAsia"/>
          <w:lang w:val="en-US" w:eastAsia="zh-CN"/>
        </w:rPr>
        <w:t xml:space="preserve"> </w:t>
      </w:r>
      <w:r>
        <w:t>录</w:t>
      </w:r>
      <w:bookmarkEnd w:id="4"/>
      <w:bookmarkEnd w:id="5"/>
      <w:bookmarkEnd w:id="6"/>
      <w:bookmarkEnd w:id="7"/>
      <w:bookmarkEnd w:id="8"/>
      <w:bookmarkEnd w:id="9"/>
    </w:p>
    <w:p>
      <w:pPr>
        <w:pStyle w:val="11"/>
        <w:tabs>
          <w:tab w:val="right" w:leader="dot" w:pos="8306"/>
        </w:tabs>
        <w:ind w:firstLine="0" w:firstLineChars="0"/>
        <w:rPr>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TOC \o "1-2" \h \u </w:instrText>
      </w:r>
      <w:r>
        <w:rPr>
          <w:rFonts w:hint="eastAsia" w:ascii="楷体" w:hAnsi="楷体" w:eastAsia="楷体" w:cs="楷体"/>
          <w:sz w:val="28"/>
          <w:szCs w:val="28"/>
        </w:rPr>
        <w:fldChar w:fldCharType="separate"/>
      </w:r>
      <w:r>
        <w:rPr>
          <w:rFonts w:hint="eastAsia" w:ascii="楷体" w:hAnsi="楷体" w:eastAsia="楷体" w:cs="楷体"/>
          <w:b/>
          <w:bCs/>
          <w:sz w:val="28"/>
          <w:szCs w:val="28"/>
        </w:rPr>
        <w:fldChar w:fldCharType="begin"/>
      </w:r>
      <w:r>
        <w:rPr>
          <w:rFonts w:hint="eastAsia" w:ascii="楷体" w:hAnsi="楷体" w:eastAsia="楷体" w:cs="楷体"/>
          <w:b/>
          <w:bCs/>
          <w:sz w:val="28"/>
          <w:szCs w:val="28"/>
        </w:rPr>
        <w:instrText xml:space="preserve"> HYPERLINK \l _Toc7770 </w:instrText>
      </w:r>
      <w:r>
        <w:rPr>
          <w:rFonts w:hint="eastAsia" w:ascii="楷体" w:hAnsi="楷体" w:eastAsia="楷体" w:cs="楷体"/>
          <w:b/>
          <w:bCs/>
          <w:sz w:val="28"/>
          <w:szCs w:val="28"/>
        </w:rPr>
        <w:fldChar w:fldCharType="separate"/>
      </w:r>
      <w:r>
        <w:rPr>
          <w:rFonts w:hint="eastAsia"/>
          <w:b/>
          <w:bCs/>
          <w:sz w:val="28"/>
          <w:szCs w:val="28"/>
        </w:rPr>
        <w:t>一、总体概况</w:t>
      </w:r>
      <w:r>
        <w:rPr>
          <w:b/>
          <w:bCs/>
          <w:sz w:val="28"/>
          <w:szCs w:val="28"/>
        </w:rPr>
        <w:tab/>
      </w:r>
      <w:r>
        <w:rPr>
          <w:b/>
          <w:bCs/>
          <w:sz w:val="28"/>
          <w:szCs w:val="28"/>
        </w:rPr>
        <w:fldChar w:fldCharType="begin"/>
      </w:r>
      <w:r>
        <w:rPr>
          <w:b/>
          <w:bCs/>
          <w:sz w:val="28"/>
          <w:szCs w:val="28"/>
        </w:rPr>
        <w:instrText xml:space="preserve"> PAGEREF _Toc7770 \h </w:instrText>
      </w:r>
      <w:r>
        <w:rPr>
          <w:b/>
          <w:bCs/>
          <w:sz w:val="28"/>
          <w:szCs w:val="28"/>
        </w:rPr>
        <w:fldChar w:fldCharType="separate"/>
      </w:r>
      <w:r>
        <w:rPr>
          <w:b/>
          <w:bCs/>
          <w:sz w:val="28"/>
          <w:szCs w:val="28"/>
        </w:rPr>
        <w:t>1</w:t>
      </w:r>
      <w:r>
        <w:rPr>
          <w:b/>
          <w:bCs/>
          <w:sz w:val="28"/>
          <w:szCs w:val="28"/>
        </w:rPr>
        <w:fldChar w:fldCharType="end"/>
      </w:r>
      <w:r>
        <w:rPr>
          <w:rFonts w:hint="eastAsia" w:ascii="楷体" w:hAnsi="楷体" w:eastAsia="楷体" w:cs="楷体"/>
          <w:b/>
          <w:bCs/>
          <w:sz w:val="28"/>
          <w:szCs w:val="28"/>
        </w:rPr>
        <w:fldChar w:fldCharType="end"/>
      </w:r>
    </w:p>
    <w:p>
      <w:pPr>
        <w:pStyle w:val="13"/>
        <w:tabs>
          <w:tab w:val="right" w:leader="dot" w:pos="8306"/>
        </w:tabs>
        <w:ind w:left="0" w:leftChars="0" w:firstLine="560"/>
        <w:rPr>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_Toc28940 </w:instrText>
      </w:r>
      <w:r>
        <w:rPr>
          <w:rFonts w:hint="eastAsia" w:ascii="楷体" w:hAnsi="楷体" w:eastAsia="楷体" w:cs="楷体"/>
          <w:sz w:val="28"/>
          <w:szCs w:val="28"/>
        </w:rPr>
        <w:fldChar w:fldCharType="separate"/>
      </w:r>
      <w:r>
        <w:rPr>
          <w:rFonts w:hint="eastAsia"/>
          <w:sz w:val="28"/>
          <w:szCs w:val="28"/>
        </w:rPr>
        <w:t>（一）学位授权点基本情况</w:t>
      </w:r>
      <w:r>
        <w:rPr>
          <w:sz w:val="28"/>
          <w:szCs w:val="28"/>
        </w:rPr>
        <w:tab/>
      </w:r>
      <w:r>
        <w:rPr>
          <w:sz w:val="28"/>
          <w:szCs w:val="28"/>
        </w:rPr>
        <w:fldChar w:fldCharType="begin"/>
      </w:r>
      <w:r>
        <w:rPr>
          <w:sz w:val="28"/>
          <w:szCs w:val="28"/>
        </w:rPr>
        <w:instrText xml:space="preserve"> PAGEREF _Toc28940 \h </w:instrText>
      </w:r>
      <w:r>
        <w:rPr>
          <w:sz w:val="28"/>
          <w:szCs w:val="28"/>
        </w:rPr>
        <w:fldChar w:fldCharType="separate"/>
      </w:r>
      <w:r>
        <w:rPr>
          <w:sz w:val="28"/>
          <w:szCs w:val="28"/>
        </w:rPr>
        <w:t>2</w:t>
      </w:r>
      <w:r>
        <w:rPr>
          <w:sz w:val="28"/>
          <w:szCs w:val="28"/>
        </w:rPr>
        <w:fldChar w:fldCharType="end"/>
      </w:r>
      <w:r>
        <w:rPr>
          <w:rFonts w:hint="eastAsia" w:ascii="楷体" w:hAnsi="楷体" w:eastAsia="楷体" w:cs="楷体"/>
          <w:sz w:val="28"/>
          <w:szCs w:val="28"/>
        </w:rPr>
        <w:fldChar w:fldCharType="end"/>
      </w:r>
    </w:p>
    <w:p>
      <w:pPr>
        <w:pStyle w:val="13"/>
        <w:tabs>
          <w:tab w:val="right" w:leader="dot" w:pos="8306"/>
        </w:tabs>
        <w:ind w:left="0" w:leftChars="0" w:firstLine="560"/>
        <w:rPr>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_Toc4215 </w:instrText>
      </w:r>
      <w:r>
        <w:rPr>
          <w:rFonts w:hint="eastAsia" w:ascii="楷体" w:hAnsi="楷体" w:eastAsia="楷体" w:cs="楷体"/>
          <w:sz w:val="28"/>
          <w:szCs w:val="28"/>
        </w:rPr>
        <w:fldChar w:fldCharType="separate"/>
      </w:r>
      <w:r>
        <w:rPr>
          <w:rFonts w:hint="eastAsia"/>
          <w:sz w:val="28"/>
          <w:szCs w:val="28"/>
        </w:rPr>
        <w:t>（二）学科建设情况</w:t>
      </w:r>
      <w:r>
        <w:rPr>
          <w:sz w:val="28"/>
          <w:szCs w:val="28"/>
        </w:rPr>
        <w:tab/>
      </w:r>
      <w:r>
        <w:rPr>
          <w:sz w:val="28"/>
          <w:szCs w:val="28"/>
        </w:rPr>
        <w:fldChar w:fldCharType="begin"/>
      </w:r>
      <w:r>
        <w:rPr>
          <w:sz w:val="28"/>
          <w:szCs w:val="28"/>
        </w:rPr>
        <w:instrText xml:space="preserve"> PAGEREF _Toc4215 \h </w:instrText>
      </w:r>
      <w:r>
        <w:rPr>
          <w:sz w:val="28"/>
          <w:szCs w:val="28"/>
        </w:rPr>
        <w:fldChar w:fldCharType="separate"/>
      </w:r>
      <w:r>
        <w:rPr>
          <w:sz w:val="28"/>
          <w:szCs w:val="28"/>
        </w:rPr>
        <w:t>4</w:t>
      </w:r>
      <w:r>
        <w:rPr>
          <w:sz w:val="28"/>
          <w:szCs w:val="28"/>
        </w:rPr>
        <w:fldChar w:fldCharType="end"/>
      </w:r>
      <w:r>
        <w:rPr>
          <w:rFonts w:hint="eastAsia" w:ascii="楷体" w:hAnsi="楷体" w:eastAsia="楷体" w:cs="楷体"/>
          <w:sz w:val="28"/>
          <w:szCs w:val="28"/>
        </w:rPr>
        <w:fldChar w:fldCharType="end"/>
      </w:r>
    </w:p>
    <w:p>
      <w:pPr>
        <w:pStyle w:val="13"/>
        <w:tabs>
          <w:tab w:val="right" w:leader="dot" w:pos="8306"/>
        </w:tabs>
        <w:ind w:left="0" w:leftChars="0" w:firstLine="560"/>
        <w:rPr>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_Toc12896 </w:instrText>
      </w:r>
      <w:r>
        <w:rPr>
          <w:rFonts w:hint="eastAsia" w:ascii="楷体" w:hAnsi="楷体" w:eastAsia="楷体" w:cs="楷体"/>
          <w:sz w:val="28"/>
          <w:szCs w:val="28"/>
        </w:rPr>
        <w:fldChar w:fldCharType="separate"/>
      </w:r>
      <w:r>
        <w:rPr>
          <w:rFonts w:hint="eastAsia"/>
          <w:sz w:val="28"/>
          <w:szCs w:val="28"/>
        </w:rPr>
        <w:t>（三）研究生基本情况</w:t>
      </w:r>
      <w:r>
        <w:rPr>
          <w:sz w:val="28"/>
          <w:szCs w:val="28"/>
        </w:rPr>
        <w:tab/>
      </w:r>
      <w:r>
        <w:rPr>
          <w:sz w:val="28"/>
          <w:szCs w:val="28"/>
        </w:rPr>
        <w:fldChar w:fldCharType="begin"/>
      </w:r>
      <w:r>
        <w:rPr>
          <w:sz w:val="28"/>
          <w:szCs w:val="28"/>
        </w:rPr>
        <w:instrText xml:space="preserve"> PAGEREF _Toc12896 \h </w:instrText>
      </w:r>
      <w:r>
        <w:rPr>
          <w:sz w:val="28"/>
          <w:szCs w:val="28"/>
        </w:rPr>
        <w:fldChar w:fldCharType="separate"/>
      </w:r>
      <w:r>
        <w:rPr>
          <w:sz w:val="28"/>
          <w:szCs w:val="28"/>
        </w:rPr>
        <w:t>5</w:t>
      </w:r>
      <w:r>
        <w:rPr>
          <w:sz w:val="28"/>
          <w:szCs w:val="28"/>
        </w:rPr>
        <w:fldChar w:fldCharType="end"/>
      </w:r>
      <w:r>
        <w:rPr>
          <w:rFonts w:hint="eastAsia" w:ascii="楷体" w:hAnsi="楷体" w:eastAsia="楷体" w:cs="楷体"/>
          <w:sz w:val="28"/>
          <w:szCs w:val="28"/>
        </w:rPr>
        <w:fldChar w:fldCharType="end"/>
      </w:r>
    </w:p>
    <w:p>
      <w:pPr>
        <w:pStyle w:val="13"/>
        <w:tabs>
          <w:tab w:val="right" w:leader="dot" w:pos="8306"/>
        </w:tabs>
        <w:ind w:left="0" w:leftChars="0" w:firstLine="560"/>
        <w:rPr>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_Toc14359 </w:instrText>
      </w:r>
      <w:r>
        <w:rPr>
          <w:rFonts w:hint="eastAsia" w:ascii="楷体" w:hAnsi="楷体" w:eastAsia="楷体" w:cs="楷体"/>
          <w:sz w:val="28"/>
          <w:szCs w:val="28"/>
        </w:rPr>
        <w:fldChar w:fldCharType="separate"/>
      </w:r>
      <w:r>
        <w:rPr>
          <w:rFonts w:hint="eastAsia"/>
          <w:sz w:val="28"/>
          <w:szCs w:val="28"/>
        </w:rPr>
        <w:t>（四）研究生导师状况</w:t>
      </w:r>
      <w:r>
        <w:rPr>
          <w:sz w:val="28"/>
          <w:szCs w:val="28"/>
        </w:rPr>
        <w:tab/>
      </w:r>
      <w:r>
        <w:rPr>
          <w:sz w:val="28"/>
          <w:szCs w:val="28"/>
        </w:rPr>
        <w:fldChar w:fldCharType="begin"/>
      </w:r>
      <w:r>
        <w:rPr>
          <w:sz w:val="28"/>
          <w:szCs w:val="28"/>
        </w:rPr>
        <w:instrText xml:space="preserve"> PAGEREF _Toc14359 \h </w:instrText>
      </w:r>
      <w:r>
        <w:rPr>
          <w:sz w:val="28"/>
          <w:szCs w:val="28"/>
        </w:rPr>
        <w:fldChar w:fldCharType="separate"/>
      </w:r>
      <w:r>
        <w:rPr>
          <w:sz w:val="28"/>
          <w:szCs w:val="28"/>
        </w:rPr>
        <w:t>8</w:t>
      </w:r>
      <w:r>
        <w:rPr>
          <w:sz w:val="28"/>
          <w:szCs w:val="28"/>
        </w:rPr>
        <w:fldChar w:fldCharType="end"/>
      </w:r>
      <w:r>
        <w:rPr>
          <w:rFonts w:hint="eastAsia" w:ascii="楷体" w:hAnsi="楷体" w:eastAsia="楷体" w:cs="楷体"/>
          <w:sz w:val="28"/>
          <w:szCs w:val="28"/>
        </w:rPr>
        <w:fldChar w:fldCharType="end"/>
      </w:r>
    </w:p>
    <w:p>
      <w:pPr>
        <w:pStyle w:val="11"/>
        <w:tabs>
          <w:tab w:val="right" w:leader="dot" w:pos="8306"/>
        </w:tabs>
        <w:ind w:firstLine="0" w:firstLineChars="0"/>
        <w:rPr>
          <w:sz w:val="28"/>
          <w:szCs w:val="28"/>
        </w:rPr>
      </w:pPr>
      <w:r>
        <w:rPr>
          <w:rFonts w:hint="eastAsia" w:ascii="楷体" w:hAnsi="楷体" w:eastAsia="楷体" w:cs="楷体"/>
          <w:b/>
          <w:bCs/>
          <w:sz w:val="28"/>
          <w:szCs w:val="28"/>
        </w:rPr>
        <w:fldChar w:fldCharType="begin"/>
      </w:r>
      <w:r>
        <w:rPr>
          <w:rFonts w:hint="eastAsia" w:ascii="楷体" w:hAnsi="楷体" w:eastAsia="楷体" w:cs="楷体"/>
          <w:b/>
          <w:bCs/>
          <w:sz w:val="28"/>
          <w:szCs w:val="28"/>
        </w:rPr>
        <w:instrText xml:space="preserve"> HYPERLINK \l _Toc24782 </w:instrText>
      </w:r>
      <w:r>
        <w:rPr>
          <w:rFonts w:hint="eastAsia" w:ascii="楷体" w:hAnsi="楷体" w:eastAsia="楷体" w:cs="楷体"/>
          <w:b/>
          <w:bCs/>
          <w:sz w:val="28"/>
          <w:szCs w:val="28"/>
        </w:rPr>
        <w:fldChar w:fldCharType="separate"/>
      </w:r>
      <w:r>
        <w:rPr>
          <w:rFonts w:hint="eastAsia"/>
          <w:b/>
          <w:bCs/>
          <w:sz w:val="28"/>
          <w:szCs w:val="28"/>
        </w:rPr>
        <w:t>二、研究生思想政治教育和科学道德建设</w:t>
      </w:r>
      <w:r>
        <w:rPr>
          <w:b/>
          <w:bCs/>
          <w:sz w:val="28"/>
          <w:szCs w:val="28"/>
        </w:rPr>
        <w:tab/>
      </w:r>
      <w:r>
        <w:rPr>
          <w:b/>
          <w:bCs/>
          <w:sz w:val="28"/>
          <w:szCs w:val="28"/>
        </w:rPr>
        <w:fldChar w:fldCharType="begin"/>
      </w:r>
      <w:r>
        <w:rPr>
          <w:b/>
          <w:bCs/>
          <w:sz w:val="28"/>
          <w:szCs w:val="28"/>
        </w:rPr>
        <w:instrText xml:space="preserve"> PAGEREF _Toc24782 \h </w:instrText>
      </w:r>
      <w:r>
        <w:rPr>
          <w:b/>
          <w:bCs/>
          <w:sz w:val="28"/>
          <w:szCs w:val="28"/>
        </w:rPr>
        <w:fldChar w:fldCharType="separate"/>
      </w:r>
      <w:r>
        <w:rPr>
          <w:b/>
          <w:bCs/>
          <w:sz w:val="28"/>
          <w:szCs w:val="28"/>
        </w:rPr>
        <w:t>8</w:t>
      </w:r>
      <w:r>
        <w:rPr>
          <w:b/>
          <w:bCs/>
          <w:sz w:val="28"/>
          <w:szCs w:val="28"/>
        </w:rPr>
        <w:fldChar w:fldCharType="end"/>
      </w:r>
      <w:r>
        <w:rPr>
          <w:rFonts w:hint="eastAsia" w:ascii="楷体" w:hAnsi="楷体" w:eastAsia="楷体" w:cs="楷体"/>
          <w:b/>
          <w:bCs/>
          <w:sz w:val="28"/>
          <w:szCs w:val="28"/>
        </w:rPr>
        <w:fldChar w:fldCharType="end"/>
      </w:r>
    </w:p>
    <w:p>
      <w:pPr>
        <w:pStyle w:val="13"/>
        <w:tabs>
          <w:tab w:val="right" w:leader="dot" w:pos="8306"/>
        </w:tabs>
        <w:ind w:left="0" w:leftChars="0" w:firstLine="560"/>
        <w:rPr>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_Toc1158 </w:instrText>
      </w:r>
      <w:r>
        <w:rPr>
          <w:rFonts w:hint="eastAsia" w:ascii="楷体" w:hAnsi="楷体" w:eastAsia="楷体" w:cs="楷体"/>
          <w:sz w:val="28"/>
          <w:szCs w:val="28"/>
        </w:rPr>
        <w:fldChar w:fldCharType="separate"/>
      </w:r>
      <w:r>
        <w:rPr>
          <w:rFonts w:hint="eastAsia"/>
          <w:sz w:val="28"/>
          <w:szCs w:val="28"/>
        </w:rPr>
        <w:t>（一）思想政治教育</w:t>
      </w:r>
      <w:r>
        <w:rPr>
          <w:sz w:val="28"/>
          <w:szCs w:val="28"/>
        </w:rPr>
        <w:tab/>
      </w:r>
      <w:r>
        <w:rPr>
          <w:sz w:val="28"/>
          <w:szCs w:val="28"/>
        </w:rPr>
        <w:fldChar w:fldCharType="begin"/>
      </w:r>
      <w:r>
        <w:rPr>
          <w:sz w:val="28"/>
          <w:szCs w:val="28"/>
        </w:rPr>
        <w:instrText xml:space="preserve"> PAGEREF _Toc1158 \h </w:instrText>
      </w:r>
      <w:r>
        <w:rPr>
          <w:sz w:val="28"/>
          <w:szCs w:val="28"/>
        </w:rPr>
        <w:fldChar w:fldCharType="separate"/>
      </w:r>
      <w:r>
        <w:rPr>
          <w:sz w:val="28"/>
          <w:szCs w:val="28"/>
        </w:rPr>
        <w:t>8</w:t>
      </w:r>
      <w:r>
        <w:rPr>
          <w:sz w:val="28"/>
          <w:szCs w:val="28"/>
        </w:rPr>
        <w:fldChar w:fldCharType="end"/>
      </w:r>
      <w:r>
        <w:rPr>
          <w:rFonts w:hint="eastAsia" w:ascii="楷体" w:hAnsi="楷体" w:eastAsia="楷体" w:cs="楷体"/>
          <w:sz w:val="28"/>
          <w:szCs w:val="28"/>
        </w:rPr>
        <w:fldChar w:fldCharType="end"/>
      </w:r>
    </w:p>
    <w:p>
      <w:pPr>
        <w:pStyle w:val="13"/>
        <w:tabs>
          <w:tab w:val="right" w:leader="dot" w:pos="8306"/>
        </w:tabs>
        <w:ind w:left="0" w:leftChars="0" w:firstLine="560"/>
        <w:rPr>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_Toc7547 </w:instrText>
      </w:r>
      <w:r>
        <w:rPr>
          <w:rFonts w:hint="eastAsia" w:ascii="楷体" w:hAnsi="楷体" w:eastAsia="楷体" w:cs="楷体"/>
          <w:sz w:val="28"/>
          <w:szCs w:val="28"/>
        </w:rPr>
        <w:fldChar w:fldCharType="separate"/>
      </w:r>
      <w:r>
        <w:rPr>
          <w:rFonts w:hint="eastAsia"/>
          <w:sz w:val="28"/>
          <w:szCs w:val="28"/>
        </w:rPr>
        <w:t>（二）科学道德和学风建设</w:t>
      </w:r>
      <w:r>
        <w:rPr>
          <w:sz w:val="28"/>
          <w:szCs w:val="28"/>
        </w:rPr>
        <w:tab/>
      </w:r>
      <w:r>
        <w:rPr>
          <w:sz w:val="28"/>
          <w:szCs w:val="28"/>
        </w:rPr>
        <w:fldChar w:fldCharType="begin"/>
      </w:r>
      <w:r>
        <w:rPr>
          <w:sz w:val="28"/>
          <w:szCs w:val="28"/>
        </w:rPr>
        <w:instrText xml:space="preserve"> PAGEREF _Toc7547 \h </w:instrText>
      </w:r>
      <w:r>
        <w:rPr>
          <w:sz w:val="28"/>
          <w:szCs w:val="28"/>
        </w:rPr>
        <w:fldChar w:fldCharType="separate"/>
      </w:r>
      <w:r>
        <w:rPr>
          <w:sz w:val="28"/>
          <w:szCs w:val="28"/>
        </w:rPr>
        <w:t>11</w:t>
      </w:r>
      <w:r>
        <w:rPr>
          <w:sz w:val="28"/>
          <w:szCs w:val="28"/>
        </w:rPr>
        <w:fldChar w:fldCharType="end"/>
      </w:r>
      <w:r>
        <w:rPr>
          <w:rFonts w:hint="eastAsia" w:ascii="楷体" w:hAnsi="楷体" w:eastAsia="楷体" w:cs="楷体"/>
          <w:sz w:val="28"/>
          <w:szCs w:val="28"/>
        </w:rPr>
        <w:fldChar w:fldCharType="end"/>
      </w:r>
    </w:p>
    <w:p>
      <w:pPr>
        <w:pStyle w:val="13"/>
        <w:tabs>
          <w:tab w:val="right" w:leader="dot" w:pos="8306"/>
        </w:tabs>
        <w:ind w:left="0" w:leftChars="0" w:firstLine="560"/>
        <w:rPr>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_Toc27957 </w:instrText>
      </w:r>
      <w:r>
        <w:rPr>
          <w:rFonts w:hint="eastAsia" w:ascii="楷体" w:hAnsi="楷体" w:eastAsia="楷体" w:cs="楷体"/>
          <w:sz w:val="28"/>
          <w:szCs w:val="28"/>
        </w:rPr>
        <w:fldChar w:fldCharType="separate"/>
      </w:r>
      <w:r>
        <w:rPr>
          <w:rFonts w:hint="eastAsia"/>
          <w:sz w:val="28"/>
          <w:szCs w:val="28"/>
          <w:highlight w:val="none"/>
        </w:rPr>
        <w:t>（三）校园文化建设</w:t>
      </w:r>
      <w:r>
        <w:rPr>
          <w:sz w:val="28"/>
          <w:szCs w:val="28"/>
        </w:rPr>
        <w:tab/>
      </w:r>
      <w:r>
        <w:rPr>
          <w:sz w:val="28"/>
          <w:szCs w:val="28"/>
        </w:rPr>
        <w:fldChar w:fldCharType="begin"/>
      </w:r>
      <w:r>
        <w:rPr>
          <w:sz w:val="28"/>
          <w:szCs w:val="28"/>
        </w:rPr>
        <w:instrText xml:space="preserve"> PAGEREF _Toc27957 \h </w:instrText>
      </w:r>
      <w:r>
        <w:rPr>
          <w:sz w:val="28"/>
          <w:szCs w:val="28"/>
        </w:rPr>
        <w:fldChar w:fldCharType="separate"/>
      </w:r>
      <w:r>
        <w:rPr>
          <w:sz w:val="28"/>
          <w:szCs w:val="28"/>
        </w:rPr>
        <w:t>12</w:t>
      </w:r>
      <w:r>
        <w:rPr>
          <w:sz w:val="28"/>
          <w:szCs w:val="28"/>
        </w:rPr>
        <w:fldChar w:fldCharType="end"/>
      </w:r>
      <w:r>
        <w:rPr>
          <w:rFonts w:hint="eastAsia" w:ascii="楷体" w:hAnsi="楷体" w:eastAsia="楷体" w:cs="楷体"/>
          <w:sz w:val="28"/>
          <w:szCs w:val="28"/>
        </w:rPr>
        <w:fldChar w:fldCharType="end"/>
      </w:r>
    </w:p>
    <w:p>
      <w:pPr>
        <w:pStyle w:val="11"/>
        <w:tabs>
          <w:tab w:val="right" w:leader="dot" w:pos="8306"/>
        </w:tabs>
        <w:ind w:firstLine="0" w:firstLineChars="0"/>
        <w:rPr>
          <w:b/>
          <w:bCs/>
          <w:sz w:val="28"/>
          <w:szCs w:val="28"/>
        </w:rPr>
      </w:pPr>
      <w:r>
        <w:rPr>
          <w:rFonts w:hint="eastAsia" w:ascii="楷体" w:hAnsi="楷体" w:eastAsia="楷体" w:cs="楷体"/>
          <w:b/>
          <w:bCs/>
          <w:sz w:val="28"/>
          <w:szCs w:val="28"/>
        </w:rPr>
        <w:fldChar w:fldCharType="begin"/>
      </w:r>
      <w:r>
        <w:rPr>
          <w:rFonts w:hint="eastAsia" w:ascii="楷体" w:hAnsi="楷体" w:eastAsia="楷体" w:cs="楷体"/>
          <w:b/>
          <w:bCs/>
          <w:sz w:val="28"/>
          <w:szCs w:val="28"/>
        </w:rPr>
        <w:instrText xml:space="preserve"> HYPERLINK \l _Toc31082 </w:instrText>
      </w:r>
      <w:r>
        <w:rPr>
          <w:rFonts w:hint="eastAsia" w:ascii="楷体" w:hAnsi="楷体" w:eastAsia="楷体" w:cs="楷体"/>
          <w:b/>
          <w:bCs/>
          <w:sz w:val="28"/>
          <w:szCs w:val="28"/>
        </w:rPr>
        <w:fldChar w:fldCharType="separate"/>
      </w:r>
      <w:r>
        <w:rPr>
          <w:rFonts w:hint="eastAsia"/>
          <w:b/>
          <w:bCs/>
          <w:sz w:val="28"/>
          <w:szCs w:val="28"/>
        </w:rPr>
        <w:t>三、研究生培养相关制度和执行情况</w:t>
      </w:r>
      <w:r>
        <w:rPr>
          <w:b/>
          <w:bCs/>
          <w:sz w:val="28"/>
          <w:szCs w:val="28"/>
        </w:rPr>
        <w:tab/>
      </w:r>
      <w:r>
        <w:rPr>
          <w:b/>
          <w:bCs/>
          <w:sz w:val="28"/>
          <w:szCs w:val="28"/>
        </w:rPr>
        <w:fldChar w:fldCharType="begin"/>
      </w:r>
      <w:r>
        <w:rPr>
          <w:b/>
          <w:bCs/>
          <w:sz w:val="28"/>
          <w:szCs w:val="28"/>
        </w:rPr>
        <w:instrText xml:space="preserve"> PAGEREF _Toc31082 \h </w:instrText>
      </w:r>
      <w:r>
        <w:rPr>
          <w:b/>
          <w:bCs/>
          <w:sz w:val="28"/>
          <w:szCs w:val="28"/>
        </w:rPr>
        <w:fldChar w:fldCharType="separate"/>
      </w:r>
      <w:r>
        <w:rPr>
          <w:b/>
          <w:bCs/>
          <w:sz w:val="28"/>
          <w:szCs w:val="28"/>
        </w:rPr>
        <w:t>13</w:t>
      </w:r>
      <w:r>
        <w:rPr>
          <w:b/>
          <w:bCs/>
          <w:sz w:val="28"/>
          <w:szCs w:val="28"/>
        </w:rPr>
        <w:fldChar w:fldCharType="end"/>
      </w:r>
      <w:r>
        <w:rPr>
          <w:rFonts w:hint="eastAsia" w:ascii="楷体" w:hAnsi="楷体" w:eastAsia="楷体" w:cs="楷体"/>
          <w:b/>
          <w:bCs/>
          <w:sz w:val="28"/>
          <w:szCs w:val="28"/>
        </w:rPr>
        <w:fldChar w:fldCharType="end"/>
      </w:r>
    </w:p>
    <w:p>
      <w:pPr>
        <w:pStyle w:val="13"/>
        <w:tabs>
          <w:tab w:val="right" w:leader="dot" w:pos="8306"/>
        </w:tabs>
        <w:ind w:left="0" w:leftChars="0" w:firstLine="560"/>
        <w:rPr>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_Toc16652 </w:instrText>
      </w:r>
      <w:r>
        <w:rPr>
          <w:rFonts w:hint="eastAsia" w:ascii="楷体" w:hAnsi="楷体" w:eastAsia="楷体" w:cs="楷体"/>
          <w:sz w:val="28"/>
          <w:szCs w:val="28"/>
        </w:rPr>
        <w:fldChar w:fldCharType="separate"/>
      </w:r>
      <w:r>
        <w:rPr>
          <w:rFonts w:hint="eastAsia"/>
          <w:sz w:val="28"/>
          <w:szCs w:val="28"/>
        </w:rPr>
        <w:t>（一）课程建设与实施</w:t>
      </w:r>
      <w:r>
        <w:rPr>
          <w:sz w:val="28"/>
          <w:szCs w:val="28"/>
        </w:rPr>
        <w:tab/>
      </w:r>
      <w:r>
        <w:rPr>
          <w:sz w:val="28"/>
          <w:szCs w:val="28"/>
        </w:rPr>
        <w:fldChar w:fldCharType="begin"/>
      </w:r>
      <w:r>
        <w:rPr>
          <w:sz w:val="28"/>
          <w:szCs w:val="28"/>
        </w:rPr>
        <w:instrText xml:space="preserve"> PAGEREF _Toc16652 \h </w:instrText>
      </w:r>
      <w:r>
        <w:rPr>
          <w:sz w:val="28"/>
          <w:szCs w:val="28"/>
        </w:rPr>
        <w:fldChar w:fldCharType="separate"/>
      </w:r>
      <w:r>
        <w:rPr>
          <w:sz w:val="28"/>
          <w:szCs w:val="28"/>
        </w:rPr>
        <w:t>13</w:t>
      </w:r>
      <w:r>
        <w:rPr>
          <w:sz w:val="28"/>
          <w:szCs w:val="28"/>
        </w:rPr>
        <w:fldChar w:fldCharType="end"/>
      </w:r>
      <w:r>
        <w:rPr>
          <w:rFonts w:hint="eastAsia" w:ascii="楷体" w:hAnsi="楷体" w:eastAsia="楷体" w:cs="楷体"/>
          <w:sz w:val="28"/>
          <w:szCs w:val="28"/>
        </w:rPr>
        <w:fldChar w:fldCharType="end"/>
      </w:r>
    </w:p>
    <w:p>
      <w:pPr>
        <w:pStyle w:val="13"/>
        <w:tabs>
          <w:tab w:val="right" w:leader="dot" w:pos="8306"/>
        </w:tabs>
        <w:ind w:left="0" w:leftChars="0" w:firstLine="560"/>
        <w:rPr>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_Toc18964 </w:instrText>
      </w:r>
      <w:r>
        <w:rPr>
          <w:rFonts w:hint="eastAsia" w:ascii="楷体" w:hAnsi="楷体" w:eastAsia="楷体" w:cs="楷体"/>
          <w:sz w:val="28"/>
          <w:szCs w:val="28"/>
        </w:rPr>
        <w:fldChar w:fldCharType="separate"/>
      </w:r>
      <w:r>
        <w:rPr>
          <w:rFonts w:hint="eastAsia"/>
          <w:sz w:val="28"/>
          <w:szCs w:val="28"/>
        </w:rPr>
        <w:t>（二）导师选拔培训和师德师风建设</w:t>
      </w:r>
      <w:r>
        <w:rPr>
          <w:sz w:val="28"/>
          <w:szCs w:val="28"/>
        </w:rPr>
        <w:tab/>
      </w:r>
      <w:r>
        <w:rPr>
          <w:sz w:val="28"/>
          <w:szCs w:val="28"/>
        </w:rPr>
        <w:fldChar w:fldCharType="begin"/>
      </w:r>
      <w:r>
        <w:rPr>
          <w:sz w:val="28"/>
          <w:szCs w:val="28"/>
        </w:rPr>
        <w:instrText xml:space="preserve"> PAGEREF _Toc18964 \h </w:instrText>
      </w:r>
      <w:r>
        <w:rPr>
          <w:sz w:val="28"/>
          <w:szCs w:val="28"/>
        </w:rPr>
        <w:fldChar w:fldCharType="separate"/>
      </w:r>
      <w:r>
        <w:rPr>
          <w:sz w:val="28"/>
          <w:szCs w:val="28"/>
        </w:rPr>
        <w:t>19</w:t>
      </w:r>
      <w:r>
        <w:rPr>
          <w:sz w:val="28"/>
          <w:szCs w:val="28"/>
        </w:rPr>
        <w:fldChar w:fldCharType="end"/>
      </w:r>
      <w:r>
        <w:rPr>
          <w:rFonts w:hint="eastAsia" w:ascii="楷体" w:hAnsi="楷体" w:eastAsia="楷体" w:cs="楷体"/>
          <w:sz w:val="28"/>
          <w:szCs w:val="28"/>
        </w:rPr>
        <w:fldChar w:fldCharType="end"/>
      </w:r>
    </w:p>
    <w:p>
      <w:pPr>
        <w:pStyle w:val="13"/>
        <w:tabs>
          <w:tab w:val="right" w:leader="dot" w:pos="8306"/>
        </w:tabs>
        <w:ind w:left="0" w:leftChars="0" w:firstLine="560"/>
        <w:rPr>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_Toc24872 </w:instrText>
      </w:r>
      <w:r>
        <w:rPr>
          <w:rFonts w:hint="eastAsia" w:ascii="楷体" w:hAnsi="楷体" w:eastAsia="楷体" w:cs="楷体"/>
          <w:sz w:val="28"/>
          <w:szCs w:val="28"/>
        </w:rPr>
        <w:fldChar w:fldCharType="separate"/>
      </w:r>
      <w:r>
        <w:rPr>
          <w:rFonts w:hint="eastAsia"/>
          <w:sz w:val="28"/>
          <w:szCs w:val="28"/>
        </w:rPr>
        <w:t>（三）学术训练</w:t>
      </w:r>
      <w:r>
        <w:rPr>
          <w:sz w:val="28"/>
          <w:szCs w:val="28"/>
        </w:rPr>
        <w:tab/>
      </w:r>
      <w:r>
        <w:rPr>
          <w:sz w:val="28"/>
          <w:szCs w:val="28"/>
        </w:rPr>
        <w:fldChar w:fldCharType="begin"/>
      </w:r>
      <w:r>
        <w:rPr>
          <w:sz w:val="28"/>
          <w:szCs w:val="28"/>
        </w:rPr>
        <w:instrText xml:space="preserve"> PAGEREF _Toc24872 \h </w:instrText>
      </w:r>
      <w:r>
        <w:rPr>
          <w:sz w:val="28"/>
          <w:szCs w:val="28"/>
        </w:rPr>
        <w:fldChar w:fldCharType="separate"/>
      </w:r>
      <w:r>
        <w:rPr>
          <w:sz w:val="28"/>
          <w:szCs w:val="28"/>
        </w:rPr>
        <w:t>20</w:t>
      </w:r>
      <w:r>
        <w:rPr>
          <w:sz w:val="28"/>
          <w:szCs w:val="28"/>
        </w:rPr>
        <w:fldChar w:fldCharType="end"/>
      </w:r>
      <w:r>
        <w:rPr>
          <w:rFonts w:hint="eastAsia" w:ascii="楷体" w:hAnsi="楷体" w:eastAsia="楷体" w:cs="楷体"/>
          <w:sz w:val="28"/>
          <w:szCs w:val="28"/>
        </w:rPr>
        <w:fldChar w:fldCharType="end"/>
      </w:r>
    </w:p>
    <w:p>
      <w:pPr>
        <w:pStyle w:val="13"/>
        <w:tabs>
          <w:tab w:val="right" w:leader="dot" w:pos="8306"/>
        </w:tabs>
        <w:ind w:left="0" w:leftChars="0" w:firstLine="560"/>
        <w:rPr>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_Toc20373 </w:instrText>
      </w:r>
      <w:r>
        <w:rPr>
          <w:rFonts w:hint="eastAsia" w:ascii="楷体" w:hAnsi="楷体" w:eastAsia="楷体" w:cs="楷体"/>
          <w:sz w:val="28"/>
          <w:szCs w:val="28"/>
        </w:rPr>
        <w:fldChar w:fldCharType="separate"/>
      </w:r>
      <w:r>
        <w:rPr>
          <w:rFonts w:hint="eastAsia"/>
          <w:sz w:val="28"/>
          <w:szCs w:val="28"/>
        </w:rPr>
        <w:t>（四）学术交流</w:t>
      </w:r>
      <w:r>
        <w:rPr>
          <w:sz w:val="28"/>
          <w:szCs w:val="28"/>
        </w:rPr>
        <w:tab/>
      </w:r>
      <w:r>
        <w:rPr>
          <w:sz w:val="28"/>
          <w:szCs w:val="28"/>
        </w:rPr>
        <w:fldChar w:fldCharType="begin"/>
      </w:r>
      <w:r>
        <w:rPr>
          <w:sz w:val="28"/>
          <w:szCs w:val="28"/>
        </w:rPr>
        <w:instrText xml:space="preserve"> PAGEREF _Toc20373 \h </w:instrText>
      </w:r>
      <w:r>
        <w:rPr>
          <w:sz w:val="28"/>
          <w:szCs w:val="28"/>
        </w:rPr>
        <w:fldChar w:fldCharType="separate"/>
      </w:r>
      <w:r>
        <w:rPr>
          <w:sz w:val="28"/>
          <w:szCs w:val="28"/>
        </w:rPr>
        <w:t>22</w:t>
      </w:r>
      <w:r>
        <w:rPr>
          <w:sz w:val="28"/>
          <w:szCs w:val="28"/>
        </w:rPr>
        <w:fldChar w:fldCharType="end"/>
      </w:r>
      <w:r>
        <w:rPr>
          <w:rFonts w:hint="eastAsia" w:ascii="楷体" w:hAnsi="楷体" w:eastAsia="楷体" w:cs="楷体"/>
          <w:sz w:val="28"/>
          <w:szCs w:val="28"/>
        </w:rPr>
        <w:fldChar w:fldCharType="end"/>
      </w:r>
    </w:p>
    <w:p>
      <w:pPr>
        <w:pStyle w:val="13"/>
        <w:tabs>
          <w:tab w:val="right" w:leader="dot" w:pos="8306"/>
        </w:tabs>
        <w:ind w:left="0" w:leftChars="0" w:firstLine="560"/>
        <w:rPr>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_Toc19138 </w:instrText>
      </w:r>
      <w:r>
        <w:rPr>
          <w:rFonts w:hint="eastAsia" w:ascii="楷体" w:hAnsi="楷体" w:eastAsia="楷体" w:cs="楷体"/>
          <w:sz w:val="28"/>
          <w:szCs w:val="28"/>
        </w:rPr>
        <w:fldChar w:fldCharType="separate"/>
      </w:r>
      <w:r>
        <w:rPr>
          <w:rFonts w:hint="eastAsia"/>
          <w:sz w:val="28"/>
          <w:szCs w:val="28"/>
        </w:rPr>
        <w:t>（五）研究生奖助情况</w:t>
      </w:r>
      <w:r>
        <w:rPr>
          <w:sz w:val="28"/>
          <w:szCs w:val="28"/>
        </w:rPr>
        <w:tab/>
      </w:r>
      <w:r>
        <w:rPr>
          <w:sz w:val="28"/>
          <w:szCs w:val="28"/>
        </w:rPr>
        <w:fldChar w:fldCharType="begin"/>
      </w:r>
      <w:r>
        <w:rPr>
          <w:sz w:val="28"/>
          <w:szCs w:val="28"/>
        </w:rPr>
        <w:instrText xml:space="preserve"> PAGEREF _Toc19138 \h </w:instrText>
      </w:r>
      <w:r>
        <w:rPr>
          <w:sz w:val="28"/>
          <w:szCs w:val="28"/>
        </w:rPr>
        <w:fldChar w:fldCharType="separate"/>
      </w:r>
      <w:r>
        <w:rPr>
          <w:sz w:val="28"/>
          <w:szCs w:val="28"/>
        </w:rPr>
        <w:t>23</w:t>
      </w:r>
      <w:r>
        <w:rPr>
          <w:sz w:val="28"/>
          <w:szCs w:val="28"/>
        </w:rPr>
        <w:fldChar w:fldCharType="end"/>
      </w:r>
      <w:r>
        <w:rPr>
          <w:rFonts w:hint="eastAsia" w:ascii="楷体" w:hAnsi="楷体" w:eastAsia="楷体" w:cs="楷体"/>
          <w:sz w:val="28"/>
          <w:szCs w:val="28"/>
        </w:rPr>
        <w:fldChar w:fldCharType="end"/>
      </w:r>
    </w:p>
    <w:p>
      <w:pPr>
        <w:pStyle w:val="11"/>
        <w:tabs>
          <w:tab w:val="right" w:leader="dot" w:pos="8306"/>
        </w:tabs>
        <w:ind w:firstLine="0" w:firstLineChars="0"/>
        <w:rPr>
          <w:sz w:val="28"/>
          <w:szCs w:val="28"/>
        </w:rPr>
      </w:pPr>
      <w:r>
        <w:rPr>
          <w:rFonts w:hint="eastAsia" w:ascii="楷体" w:hAnsi="楷体" w:eastAsia="楷体" w:cs="楷体"/>
          <w:b/>
          <w:bCs/>
          <w:sz w:val="28"/>
          <w:szCs w:val="28"/>
        </w:rPr>
        <w:fldChar w:fldCharType="begin"/>
      </w:r>
      <w:r>
        <w:rPr>
          <w:rFonts w:hint="eastAsia" w:ascii="楷体" w:hAnsi="楷体" w:eastAsia="楷体" w:cs="楷体"/>
          <w:b/>
          <w:bCs/>
          <w:sz w:val="28"/>
          <w:szCs w:val="28"/>
        </w:rPr>
        <w:instrText xml:space="preserve"> HYPERLINK \l _Toc8594 </w:instrText>
      </w:r>
      <w:r>
        <w:rPr>
          <w:rFonts w:hint="eastAsia" w:ascii="楷体" w:hAnsi="楷体" w:eastAsia="楷体" w:cs="楷体"/>
          <w:b/>
          <w:bCs/>
          <w:sz w:val="28"/>
          <w:szCs w:val="28"/>
        </w:rPr>
        <w:fldChar w:fldCharType="separate"/>
      </w:r>
      <w:r>
        <w:rPr>
          <w:rFonts w:hint="eastAsia"/>
          <w:b/>
          <w:bCs/>
          <w:sz w:val="28"/>
          <w:szCs w:val="28"/>
        </w:rPr>
        <w:t>四、研究生教育改革</w:t>
      </w:r>
      <w:r>
        <w:rPr>
          <w:b/>
          <w:bCs/>
          <w:sz w:val="28"/>
          <w:szCs w:val="28"/>
        </w:rPr>
        <w:tab/>
      </w:r>
      <w:r>
        <w:rPr>
          <w:b/>
          <w:bCs/>
          <w:sz w:val="28"/>
          <w:szCs w:val="28"/>
        </w:rPr>
        <w:fldChar w:fldCharType="begin"/>
      </w:r>
      <w:r>
        <w:rPr>
          <w:b/>
          <w:bCs/>
          <w:sz w:val="28"/>
          <w:szCs w:val="28"/>
        </w:rPr>
        <w:instrText xml:space="preserve"> PAGEREF _Toc8594 \h </w:instrText>
      </w:r>
      <w:r>
        <w:rPr>
          <w:b/>
          <w:bCs/>
          <w:sz w:val="28"/>
          <w:szCs w:val="28"/>
        </w:rPr>
        <w:fldChar w:fldCharType="separate"/>
      </w:r>
      <w:r>
        <w:rPr>
          <w:b/>
          <w:bCs/>
          <w:sz w:val="28"/>
          <w:szCs w:val="28"/>
        </w:rPr>
        <w:t>25</w:t>
      </w:r>
      <w:r>
        <w:rPr>
          <w:b/>
          <w:bCs/>
          <w:sz w:val="28"/>
          <w:szCs w:val="28"/>
        </w:rPr>
        <w:fldChar w:fldCharType="end"/>
      </w:r>
      <w:r>
        <w:rPr>
          <w:rFonts w:hint="eastAsia" w:ascii="楷体" w:hAnsi="楷体" w:eastAsia="楷体" w:cs="楷体"/>
          <w:b/>
          <w:bCs/>
          <w:sz w:val="28"/>
          <w:szCs w:val="28"/>
        </w:rPr>
        <w:fldChar w:fldCharType="end"/>
      </w:r>
    </w:p>
    <w:p>
      <w:pPr>
        <w:pStyle w:val="13"/>
        <w:tabs>
          <w:tab w:val="right" w:leader="dot" w:pos="8306"/>
        </w:tabs>
        <w:ind w:left="0" w:leftChars="0" w:firstLine="560"/>
        <w:rPr>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_Toc12558 </w:instrText>
      </w:r>
      <w:r>
        <w:rPr>
          <w:rFonts w:hint="eastAsia" w:ascii="楷体" w:hAnsi="楷体" w:eastAsia="楷体" w:cs="楷体"/>
          <w:sz w:val="28"/>
          <w:szCs w:val="28"/>
        </w:rPr>
        <w:fldChar w:fldCharType="separate"/>
      </w:r>
      <w:r>
        <w:rPr>
          <w:rFonts w:hint="eastAsia"/>
          <w:sz w:val="28"/>
          <w:szCs w:val="28"/>
        </w:rPr>
        <w:t>（一）人才培养</w:t>
      </w:r>
      <w:r>
        <w:rPr>
          <w:sz w:val="28"/>
          <w:szCs w:val="28"/>
        </w:rPr>
        <w:tab/>
      </w:r>
      <w:r>
        <w:rPr>
          <w:sz w:val="28"/>
          <w:szCs w:val="28"/>
        </w:rPr>
        <w:fldChar w:fldCharType="begin"/>
      </w:r>
      <w:r>
        <w:rPr>
          <w:sz w:val="28"/>
          <w:szCs w:val="28"/>
        </w:rPr>
        <w:instrText xml:space="preserve"> PAGEREF _Toc12558 \h </w:instrText>
      </w:r>
      <w:r>
        <w:rPr>
          <w:sz w:val="28"/>
          <w:szCs w:val="28"/>
        </w:rPr>
        <w:fldChar w:fldCharType="separate"/>
      </w:r>
      <w:r>
        <w:rPr>
          <w:sz w:val="28"/>
          <w:szCs w:val="28"/>
        </w:rPr>
        <w:t>25</w:t>
      </w:r>
      <w:r>
        <w:rPr>
          <w:sz w:val="28"/>
          <w:szCs w:val="28"/>
        </w:rPr>
        <w:fldChar w:fldCharType="end"/>
      </w:r>
      <w:r>
        <w:rPr>
          <w:rFonts w:hint="eastAsia" w:ascii="楷体" w:hAnsi="楷体" w:eastAsia="楷体" w:cs="楷体"/>
          <w:sz w:val="28"/>
          <w:szCs w:val="28"/>
        </w:rPr>
        <w:fldChar w:fldCharType="end"/>
      </w:r>
    </w:p>
    <w:p>
      <w:pPr>
        <w:pStyle w:val="13"/>
        <w:tabs>
          <w:tab w:val="right" w:leader="dot" w:pos="8306"/>
        </w:tabs>
        <w:ind w:left="0" w:leftChars="0" w:firstLine="560"/>
        <w:rPr>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_Toc16388 </w:instrText>
      </w:r>
      <w:r>
        <w:rPr>
          <w:rFonts w:hint="eastAsia" w:ascii="楷体" w:hAnsi="楷体" w:eastAsia="楷体" w:cs="楷体"/>
          <w:sz w:val="28"/>
          <w:szCs w:val="28"/>
        </w:rPr>
        <w:fldChar w:fldCharType="separate"/>
      </w:r>
      <w:r>
        <w:rPr>
          <w:rFonts w:hint="eastAsia"/>
          <w:sz w:val="28"/>
          <w:szCs w:val="28"/>
        </w:rPr>
        <w:t>（二）教师队伍建设</w:t>
      </w:r>
      <w:r>
        <w:rPr>
          <w:sz w:val="28"/>
          <w:szCs w:val="28"/>
        </w:rPr>
        <w:tab/>
      </w:r>
      <w:r>
        <w:rPr>
          <w:sz w:val="28"/>
          <w:szCs w:val="28"/>
        </w:rPr>
        <w:fldChar w:fldCharType="begin"/>
      </w:r>
      <w:r>
        <w:rPr>
          <w:sz w:val="28"/>
          <w:szCs w:val="28"/>
        </w:rPr>
        <w:instrText xml:space="preserve"> PAGEREF _Toc16388 \h </w:instrText>
      </w:r>
      <w:r>
        <w:rPr>
          <w:sz w:val="28"/>
          <w:szCs w:val="28"/>
        </w:rPr>
        <w:fldChar w:fldCharType="separate"/>
      </w:r>
      <w:r>
        <w:rPr>
          <w:sz w:val="28"/>
          <w:szCs w:val="28"/>
        </w:rPr>
        <w:t>26</w:t>
      </w:r>
      <w:r>
        <w:rPr>
          <w:sz w:val="28"/>
          <w:szCs w:val="28"/>
        </w:rPr>
        <w:fldChar w:fldCharType="end"/>
      </w:r>
      <w:r>
        <w:rPr>
          <w:rFonts w:hint="eastAsia" w:ascii="楷体" w:hAnsi="楷体" w:eastAsia="楷体" w:cs="楷体"/>
          <w:sz w:val="28"/>
          <w:szCs w:val="28"/>
        </w:rPr>
        <w:fldChar w:fldCharType="end"/>
      </w:r>
    </w:p>
    <w:p>
      <w:pPr>
        <w:pStyle w:val="13"/>
        <w:tabs>
          <w:tab w:val="right" w:leader="dot" w:pos="8306"/>
        </w:tabs>
        <w:ind w:left="0" w:leftChars="0" w:firstLine="560"/>
        <w:rPr>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_Toc12116 </w:instrText>
      </w:r>
      <w:r>
        <w:rPr>
          <w:rFonts w:hint="eastAsia" w:ascii="楷体" w:hAnsi="楷体" w:eastAsia="楷体" w:cs="楷体"/>
          <w:sz w:val="28"/>
          <w:szCs w:val="28"/>
        </w:rPr>
        <w:fldChar w:fldCharType="separate"/>
      </w:r>
      <w:r>
        <w:rPr>
          <w:rFonts w:hint="eastAsia"/>
          <w:sz w:val="28"/>
          <w:szCs w:val="28"/>
        </w:rPr>
        <w:t>（三）科学研究</w:t>
      </w:r>
      <w:r>
        <w:rPr>
          <w:sz w:val="28"/>
          <w:szCs w:val="28"/>
        </w:rPr>
        <w:tab/>
      </w:r>
      <w:r>
        <w:rPr>
          <w:sz w:val="28"/>
          <w:szCs w:val="28"/>
        </w:rPr>
        <w:fldChar w:fldCharType="begin"/>
      </w:r>
      <w:r>
        <w:rPr>
          <w:sz w:val="28"/>
          <w:szCs w:val="28"/>
        </w:rPr>
        <w:instrText xml:space="preserve"> PAGEREF _Toc12116 \h </w:instrText>
      </w:r>
      <w:r>
        <w:rPr>
          <w:sz w:val="28"/>
          <w:szCs w:val="28"/>
        </w:rPr>
        <w:fldChar w:fldCharType="separate"/>
      </w:r>
      <w:r>
        <w:rPr>
          <w:sz w:val="28"/>
          <w:szCs w:val="28"/>
        </w:rPr>
        <w:t>26</w:t>
      </w:r>
      <w:r>
        <w:rPr>
          <w:sz w:val="28"/>
          <w:szCs w:val="28"/>
        </w:rPr>
        <w:fldChar w:fldCharType="end"/>
      </w:r>
      <w:r>
        <w:rPr>
          <w:rFonts w:hint="eastAsia" w:ascii="楷体" w:hAnsi="楷体" w:eastAsia="楷体" w:cs="楷体"/>
          <w:sz w:val="28"/>
          <w:szCs w:val="28"/>
        </w:rPr>
        <w:fldChar w:fldCharType="end"/>
      </w:r>
    </w:p>
    <w:p>
      <w:pPr>
        <w:pStyle w:val="11"/>
        <w:tabs>
          <w:tab w:val="right" w:leader="dot" w:pos="8306"/>
        </w:tabs>
        <w:ind w:firstLine="0" w:firstLineChars="0"/>
        <w:rPr>
          <w:sz w:val="28"/>
          <w:szCs w:val="28"/>
        </w:rPr>
      </w:pPr>
      <w:r>
        <w:rPr>
          <w:rFonts w:hint="eastAsia" w:ascii="楷体" w:hAnsi="楷体" w:eastAsia="楷体" w:cs="楷体"/>
          <w:b/>
          <w:bCs/>
          <w:sz w:val="28"/>
          <w:szCs w:val="28"/>
        </w:rPr>
        <w:fldChar w:fldCharType="begin"/>
      </w:r>
      <w:r>
        <w:rPr>
          <w:rFonts w:hint="eastAsia" w:ascii="楷体" w:hAnsi="楷体" w:eastAsia="楷体" w:cs="楷体"/>
          <w:b/>
          <w:bCs/>
          <w:sz w:val="28"/>
          <w:szCs w:val="28"/>
        </w:rPr>
        <w:instrText xml:space="preserve"> HYPERLINK \l _Toc20353 </w:instrText>
      </w:r>
      <w:r>
        <w:rPr>
          <w:rFonts w:hint="eastAsia" w:ascii="楷体" w:hAnsi="楷体" w:eastAsia="楷体" w:cs="楷体"/>
          <w:b/>
          <w:bCs/>
          <w:sz w:val="28"/>
          <w:szCs w:val="28"/>
        </w:rPr>
        <w:fldChar w:fldCharType="separate"/>
      </w:r>
      <w:r>
        <w:rPr>
          <w:rFonts w:hint="eastAsia"/>
          <w:b/>
          <w:bCs/>
          <w:sz w:val="28"/>
          <w:szCs w:val="28"/>
        </w:rPr>
        <w:t>五、日常管理和资源保障</w:t>
      </w:r>
      <w:r>
        <w:rPr>
          <w:b/>
          <w:bCs/>
          <w:sz w:val="28"/>
          <w:szCs w:val="28"/>
        </w:rPr>
        <w:tab/>
      </w:r>
      <w:r>
        <w:rPr>
          <w:b/>
          <w:bCs/>
          <w:sz w:val="28"/>
          <w:szCs w:val="28"/>
        </w:rPr>
        <w:fldChar w:fldCharType="begin"/>
      </w:r>
      <w:r>
        <w:rPr>
          <w:b/>
          <w:bCs/>
          <w:sz w:val="28"/>
          <w:szCs w:val="28"/>
        </w:rPr>
        <w:instrText xml:space="preserve"> PAGEREF _Toc20353 \h </w:instrText>
      </w:r>
      <w:r>
        <w:rPr>
          <w:b/>
          <w:bCs/>
          <w:sz w:val="28"/>
          <w:szCs w:val="28"/>
        </w:rPr>
        <w:fldChar w:fldCharType="separate"/>
      </w:r>
      <w:r>
        <w:rPr>
          <w:b/>
          <w:bCs/>
          <w:sz w:val="28"/>
          <w:szCs w:val="28"/>
        </w:rPr>
        <w:t>28</w:t>
      </w:r>
      <w:r>
        <w:rPr>
          <w:b/>
          <w:bCs/>
          <w:sz w:val="28"/>
          <w:szCs w:val="28"/>
        </w:rPr>
        <w:fldChar w:fldCharType="end"/>
      </w:r>
      <w:r>
        <w:rPr>
          <w:rFonts w:hint="eastAsia" w:ascii="楷体" w:hAnsi="楷体" w:eastAsia="楷体" w:cs="楷体"/>
          <w:b/>
          <w:bCs/>
          <w:sz w:val="28"/>
          <w:szCs w:val="28"/>
        </w:rPr>
        <w:fldChar w:fldCharType="end"/>
      </w:r>
    </w:p>
    <w:p>
      <w:pPr>
        <w:pStyle w:val="13"/>
        <w:tabs>
          <w:tab w:val="right" w:leader="dot" w:pos="8306"/>
        </w:tabs>
        <w:ind w:left="0" w:leftChars="0" w:firstLine="560"/>
        <w:rPr>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_Toc7314 </w:instrText>
      </w:r>
      <w:r>
        <w:rPr>
          <w:rFonts w:hint="eastAsia" w:ascii="楷体" w:hAnsi="楷体" w:eastAsia="楷体" w:cs="楷体"/>
          <w:sz w:val="28"/>
          <w:szCs w:val="28"/>
        </w:rPr>
        <w:fldChar w:fldCharType="separate"/>
      </w:r>
      <w:r>
        <w:rPr>
          <w:rFonts w:hint="eastAsia"/>
          <w:sz w:val="28"/>
          <w:szCs w:val="28"/>
        </w:rPr>
        <w:t>（一）日常管理服务</w:t>
      </w:r>
      <w:r>
        <w:rPr>
          <w:sz w:val="28"/>
          <w:szCs w:val="28"/>
        </w:rPr>
        <w:tab/>
      </w:r>
      <w:r>
        <w:rPr>
          <w:sz w:val="28"/>
          <w:szCs w:val="28"/>
        </w:rPr>
        <w:fldChar w:fldCharType="begin"/>
      </w:r>
      <w:r>
        <w:rPr>
          <w:sz w:val="28"/>
          <w:szCs w:val="28"/>
        </w:rPr>
        <w:instrText xml:space="preserve"> PAGEREF _Toc7314 \h </w:instrText>
      </w:r>
      <w:r>
        <w:rPr>
          <w:sz w:val="28"/>
          <w:szCs w:val="28"/>
        </w:rPr>
        <w:fldChar w:fldCharType="separate"/>
      </w:r>
      <w:r>
        <w:rPr>
          <w:sz w:val="28"/>
          <w:szCs w:val="28"/>
        </w:rPr>
        <w:t>28</w:t>
      </w:r>
      <w:r>
        <w:rPr>
          <w:sz w:val="28"/>
          <w:szCs w:val="28"/>
        </w:rPr>
        <w:fldChar w:fldCharType="end"/>
      </w:r>
      <w:r>
        <w:rPr>
          <w:rFonts w:hint="eastAsia" w:ascii="楷体" w:hAnsi="楷体" w:eastAsia="楷体" w:cs="楷体"/>
          <w:sz w:val="28"/>
          <w:szCs w:val="28"/>
        </w:rPr>
        <w:fldChar w:fldCharType="end"/>
      </w:r>
    </w:p>
    <w:p>
      <w:pPr>
        <w:pStyle w:val="13"/>
        <w:tabs>
          <w:tab w:val="right" w:leader="dot" w:pos="8306"/>
        </w:tabs>
        <w:ind w:left="0" w:leftChars="0" w:firstLine="560"/>
        <w:rPr>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_Toc1222 </w:instrText>
      </w:r>
      <w:r>
        <w:rPr>
          <w:rFonts w:hint="eastAsia" w:ascii="楷体" w:hAnsi="楷体" w:eastAsia="楷体" w:cs="楷体"/>
          <w:sz w:val="28"/>
          <w:szCs w:val="28"/>
        </w:rPr>
        <w:fldChar w:fldCharType="separate"/>
      </w:r>
      <w:r>
        <w:rPr>
          <w:rFonts w:hint="eastAsia"/>
          <w:sz w:val="28"/>
          <w:szCs w:val="28"/>
        </w:rPr>
        <w:t>（二）教学科研支撑</w:t>
      </w:r>
      <w:r>
        <w:rPr>
          <w:sz w:val="28"/>
          <w:szCs w:val="28"/>
        </w:rPr>
        <w:tab/>
      </w:r>
      <w:r>
        <w:rPr>
          <w:sz w:val="28"/>
          <w:szCs w:val="28"/>
        </w:rPr>
        <w:fldChar w:fldCharType="begin"/>
      </w:r>
      <w:r>
        <w:rPr>
          <w:sz w:val="28"/>
          <w:szCs w:val="28"/>
        </w:rPr>
        <w:instrText xml:space="preserve"> PAGEREF _Toc1222 \h </w:instrText>
      </w:r>
      <w:r>
        <w:rPr>
          <w:sz w:val="28"/>
          <w:szCs w:val="28"/>
        </w:rPr>
        <w:fldChar w:fldCharType="separate"/>
      </w:r>
      <w:r>
        <w:rPr>
          <w:sz w:val="28"/>
          <w:szCs w:val="28"/>
        </w:rPr>
        <w:t>30</w:t>
      </w:r>
      <w:r>
        <w:rPr>
          <w:sz w:val="28"/>
          <w:szCs w:val="28"/>
        </w:rPr>
        <w:fldChar w:fldCharType="end"/>
      </w:r>
      <w:r>
        <w:rPr>
          <w:rFonts w:hint="eastAsia" w:ascii="楷体" w:hAnsi="楷体" w:eastAsia="楷体" w:cs="楷体"/>
          <w:sz w:val="28"/>
          <w:szCs w:val="28"/>
        </w:rPr>
        <w:fldChar w:fldCharType="end"/>
      </w:r>
    </w:p>
    <w:p>
      <w:pPr>
        <w:pStyle w:val="13"/>
        <w:tabs>
          <w:tab w:val="right" w:leader="dot" w:pos="8306"/>
        </w:tabs>
        <w:ind w:left="0" w:leftChars="0" w:firstLine="560"/>
        <w:rPr>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_Toc5477 </w:instrText>
      </w:r>
      <w:r>
        <w:rPr>
          <w:rFonts w:hint="eastAsia" w:ascii="楷体" w:hAnsi="楷体" w:eastAsia="楷体" w:cs="楷体"/>
          <w:sz w:val="28"/>
          <w:szCs w:val="28"/>
        </w:rPr>
        <w:fldChar w:fldCharType="separate"/>
      </w:r>
      <w:r>
        <w:rPr>
          <w:rFonts w:hint="eastAsia"/>
          <w:sz w:val="28"/>
          <w:szCs w:val="28"/>
        </w:rPr>
        <w:t>（三）经费保障</w:t>
      </w:r>
      <w:r>
        <w:rPr>
          <w:sz w:val="28"/>
          <w:szCs w:val="28"/>
        </w:rPr>
        <w:tab/>
      </w:r>
      <w:r>
        <w:rPr>
          <w:sz w:val="28"/>
          <w:szCs w:val="28"/>
        </w:rPr>
        <w:fldChar w:fldCharType="begin"/>
      </w:r>
      <w:r>
        <w:rPr>
          <w:sz w:val="28"/>
          <w:szCs w:val="28"/>
        </w:rPr>
        <w:instrText xml:space="preserve"> PAGEREF _Toc5477 \h </w:instrText>
      </w:r>
      <w:r>
        <w:rPr>
          <w:sz w:val="28"/>
          <w:szCs w:val="28"/>
        </w:rPr>
        <w:fldChar w:fldCharType="separate"/>
      </w:r>
      <w:r>
        <w:rPr>
          <w:sz w:val="28"/>
          <w:szCs w:val="28"/>
        </w:rPr>
        <w:t>30</w:t>
      </w:r>
      <w:r>
        <w:rPr>
          <w:sz w:val="28"/>
          <w:szCs w:val="28"/>
        </w:rPr>
        <w:fldChar w:fldCharType="end"/>
      </w:r>
      <w:r>
        <w:rPr>
          <w:rFonts w:hint="eastAsia" w:ascii="楷体" w:hAnsi="楷体" w:eastAsia="楷体" w:cs="楷体"/>
          <w:sz w:val="28"/>
          <w:szCs w:val="28"/>
        </w:rPr>
        <w:fldChar w:fldCharType="end"/>
      </w:r>
    </w:p>
    <w:p>
      <w:pPr>
        <w:pStyle w:val="13"/>
        <w:tabs>
          <w:tab w:val="right" w:leader="dot" w:pos="8306"/>
        </w:tabs>
        <w:ind w:left="0" w:leftChars="0" w:firstLine="560"/>
        <w:rPr>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_Toc8583 </w:instrText>
      </w:r>
      <w:r>
        <w:rPr>
          <w:rFonts w:hint="eastAsia" w:ascii="楷体" w:hAnsi="楷体" w:eastAsia="楷体" w:cs="楷体"/>
          <w:sz w:val="28"/>
          <w:szCs w:val="28"/>
        </w:rPr>
        <w:fldChar w:fldCharType="separate"/>
      </w:r>
      <w:r>
        <w:rPr>
          <w:rFonts w:hint="eastAsia"/>
          <w:sz w:val="28"/>
          <w:szCs w:val="28"/>
        </w:rPr>
        <w:t>（四）文献资源保障和信息服务</w:t>
      </w:r>
      <w:r>
        <w:rPr>
          <w:sz w:val="28"/>
          <w:szCs w:val="28"/>
        </w:rPr>
        <w:tab/>
      </w:r>
      <w:r>
        <w:rPr>
          <w:sz w:val="28"/>
          <w:szCs w:val="28"/>
        </w:rPr>
        <w:fldChar w:fldCharType="begin"/>
      </w:r>
      <w:r>
        <w:rPr>
          <w:sz w:val="28"/>
          <w:szCs w:val="28"/>
        </w:rPr>
        <w:instrText xml:space="preserve"> PAGEREF _Toc8583 \h </w:instrText>
      </w:r>
      <w:r>
        <w:rPr>
          <w:sz w:val="28"/>
          <w:szCs w:val="28"/>
        </w:rPr>
        <w:fldChar w:fldCharType="separate"/>
      </w:r>
      <w:r>
        <w:rPr>
          <w:sz w:val="28"/>
          <w:szCs w:val="28"/>
        </w:rPr>
        <w:t>31</w:t>
      </w:r>
      <w:r>
        <w:rPr>
          <w:sz w:val="28"/>
          <w:szCs w:val="28"/>
        </w:rPr>
        <w:fldChar w:fldCharType="end"/>
      </w:r>
      <w:r>
        <w:rPr>
          <w:rFonts w:hint="eastAsia" w:ascii="楷体" w:hAnsi="楷体" w:eastAsia="楷体" w:cs="楷体"/>
          <w:sz w:val="28"/>
          <w:szCs w:val="28"/>
        </w:rPr>
        <w:fldChar w:fldCharType="end"/>
      </w:r>
    </w:p>
    <w:p>
      <w:pPr>
        <w:pStyle w:val="11"/>
        <w:tabs>
          <w:tab w:val="right" w:leader="dot" w:pos="8306"/>
        </w:tabs>
        <w:ind w:firstLine="0" w:firstLineChars="0"/>
        <w:rPr>
          <w:b/>
          <w:bCs/>
          <w:sz w:val="28"/>
          <w:szCs w:val="28"/>
        </w:rPr>
      </w:pPr>
      <w:r>
        <w:rPr>
          <w:rFonts w:hint="eastAsia" w:ascii="楷体" w:hAnsi="楷体" w:eastAsia="楷体" w:cs="楷体"/>
          <w:b/>
          <w:bCs/>
          <w:sz w:val="28"/>
          <w:szCs w:val="28"/>
        </w:rPr>
        <w:fldChar w:fldCharType="begin"/>
      </w:r>
      <w:r>
        <w:rPr>
          <w:rFonts w:hint="eastAsia" w:ascii="楷体" w:hAnsi="楷体" w:eastAsia="楷体" w:cs="楷体"/>
          <w:b/>
          <w:bCs/>
          <w:sz w:val="28"/>
          <w:szCs w:val="28"/>
        </w:rPr>
        <w:instrText xml:space="preserve"> HYPERLINK \l _Toc13840 </w:instrText>
      </w:r>
      <w:r>
        <w:rPr>
          <w:rFonts w:hint="eastAsia" w:ascii="楷体" w:hAnsi="楷体" w:eastAsia="楷体" w:cs="楷体"/>
          <w:b/>
          <w:bCs/>
          <w:sz w:val="28"/>
          <w:szCs w:val="28"/>
        </w:rPr>
        <w:fldChar w:fldCharType="separate"/>
      </w:r>
      <w:r>
        <w:rPr>
          <w:rFonts w:hint="eastAsia"/>
          <w:b/>
          <w:bCs/>
          <w:sz w:val="28"/>
          <w:szCs w:val="28"/>
        </w:rPr>
        <w:t>六、教育质量评估与分析</w:t>
      </w:r>
      <w:r>
        <w:rPr>
          <w:b/>
          <w:bCs/>
          <w:sz w:val="28"/>
          <w:szCs w:val="28"/>
        </w:rPr>
        <w:tab/>
      </w:r>
      <w:r>
        <w:rPr>
          <w:b/>
          <w:bCs/>
          <w:sz w:val="28"/>
          <w:szCs w:val="28"/>
        </w:rPr>
        <w:fldChar w:fldCharType="begin"/>
      </w:r>
      <w:r>
        <w:rPr>
          <w:b/>
          <w:bCs/>
          <w:sz w:val="28"/>
          <w:szCs w:val="28"/>
        </w:rPr>
        <w:instrText xml:space="preserve"> PAGEREF _Toc13840 \h </w:instrText>
      </w:r>
      <w:r>
        <w:rPr>
          <w:b/>
          <w:bCs/>
          <w:sz w:val="28"/>
          <w:szCs w:val="28"/>
        </w:rPr>
        <w:fldChar w:fldCharType="separate"/>
      </w:r>
      <w:r>
        <w:rPr>
          <w:b/>
          <w:bCs/>
          <w:sz w:val="28"/>
          <w:szCs w:val="28"/>
        </w:rPr>
        <w:t>31</w:t>
      </w:r>
      <w:r>
        <w:rPr>
          <w:b/>
          <w:bCs/>
          <w:sz w:val="28"/>
          <w:szCs w:val="28"/>
        </w:rPr>
        <w:fldChar w:fldCharType="end"/>
      </w:r>
      <w:r>
        <w:rPr>
          <w:rFonts w:hint="eastAsia" w:ascii="楷体" w:hAnsi="楷体" w:eastAsia="楷体" w:cs="楷体"/>
          <w:b/>
          <w:bCs/>
          <w:sz w:val="28"/>
          <w:szCs w:val="28"/>
        </w:rPr>
        <w:fldChar w:fldCharType="end"/>
      </w:r>
    </w:p>
    <w:p>
      <w:pPr>
        <w:pStyle w:val="13"/>
        <w:tabs>
          <w:tab w:val="right" w:leader="dot" w:pos="8306"/>
        </w:tabs>
        <w:ind w:left="0" w:leftChars="0" w:firstLine="560"/>
        <w:rPr>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_Toc13526 </w:instrText>
      </w:r>
      <w:r>
        <w:rPr>
          <w:rFonts w:hint="eastAsia" w:ascii="楷体" w:hAnsi="楷体" w:eastAsia="楷体" w:cs="楷体"/>
          <w:sz w:val="28"/>
          <w:szCs w:val="28"/>
        </w:rPr>
        <w:fldChar w:fldCharType="separate"/>
      </w:r>
      <w:r>
        <w:rPr>
          <w:rFonts w:hint="eastAsia"/>
          <w:sz w:val="28"/>
          <w:szCs w:val="28"/>
        </w:rPr>
        <w:t>（一）学科自我评估进展和问题</w:t>
      </w:r>
      <w:r>
        <w:rPr>
          <w:sz w:val="28"/>
          <w:szCs w:val="28"/>
        </w:rPr>
        <w:tab/>
      </w:r>
      <w:r>
        <w:rPr>
          <w:sz w:val="28"/>
          <w:szCs w:val="28"/>
        </w:rPr>
        <w:fldChar w:fldCharType="begin"/>
      </w:r>
      <w:r>
        <w:rPr>
          <w:sz w:val="28"/>
          <w:szCs w:val="28"/>
        </w:rPr>
        <w:instrText xml:space="preserve"> PAGEREF _Toc13526 \h </w:instrText>
      </w:r>
      <w:r>
        <w:rPr>
          <w:sz w:val="28"/>
          <w:szCs w:val="28"/>
        </w:rPr>
        <w:fldChar w:fldCharType="separate"/>
      </w:r>
      <w:r>
        <w:rPr>
          <w:sz w:val="28"/>
          <w:szCs w:val="28"/>
        </w:rPr>
        <w:t>31</w:t>
      </w:r>
      <w:r>
        <w:rPr>
          <w:sz w:val="28"/>
          <w:szCs w:val="28"/>
        </w:rPr>
        <w:fldChar w:fldCharType="end"/>
      </w:r>
      <w:r>
        <w:rPr>
          <w:rFonts w:hint="eastAsia" w:ascii="楷体" w:hAnsi="楷体" w:eastAsia="楷体" w:cs="楷体"/>
          <w:sz w:val="28"/>
          <w:szCs w:val="28"/>
        </w:rPr>
        <w:fldChar w:fldCharType="end"/>
      </w:r>
    </w:p>
    <w:p>
      <w:pPr>
        <w:pStyle w:val="13"/>
        <w:tabs>
          <w:tab w:val="right" w:leader="dot" w:pos="8306"/>
        </w:tabs>
        <w:ind w:left="0" w:leftChars="0" w:firstLine="560"/>
        <w:rPr>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_Toc3539 </w:instrText>
      </w:r>
      <w:r>
        <w:rPr>
          <w:rFonts w:hint="eastAsia" w:ascii="楷体" w:hAnsi="楷体" w:eastAsia="楷体" w:cs="楷体"/>
          <w:sz w:val="28"/>
          <w:szCs w:val="28"/>
        </w:rPr>
        <w:fldChar w:fldCharType="separate"/>
      </w:r>
      <w:r>
        <w:rPr>
          <w:rFonts w:hint="eastAsia"/>
          <w:sz w:val="28"/>
          <w:szCs w:val="28"/>
        </w:rPr>
        <w:t>（二）学位论文抽检情况</w:t>
      </w:r>
      <w:r>
        <w:rPr>
          <w:sz w:val="28"/>
          <w:szCs w:val="28"/>
        </w:rPr>
        <w:tab/>
      </w:r>
      <w:r>
        <w:rPr>
          <w:sz w:val="28"/>
          <w:szCs w:val="28"/>
        </w:rPr>
        <w:fldChar w:fldCharType="begin"/>
      </w:r>
      <w:r>
        <w:rPr>
          <w:sz w:val="28"/>
          <w:szCs w:val="28"/>
        </w:rPr>
        <w:instrText xml:space="preserve"> PAGEREF _Toc3539 \h </w:instrText>
      </w:r>
      <w:r>
        <w:rPr>
          <w:sz w:val="28"/>
          <w:szCs w:val="28"/>
        </w:rPr>
        <w:fldChar w:fldCharType="separate"/>
      </w:r>
      <w:r>
        <w:rPr>
          <w:sz w:val="28"/>
          <w:szCs w:val="28"/>
        </w:rPr>
        <w:t>33</w:t>
      </w:r>
      <w:r>
        <w:rPr>
          <w:sz w:val="28"/>
          <w:szCs w:val="28"/>
        </w:rPr>
        <w:fldChar w:fldCharType="end"/>
      </w:r>
      <w:r>
        <w:rPr>
          <w:rFonts w:hint="eastAsia" w:ascii="楷体" w:hAnsi="楷体" w:eastAsia="楷体" w:cs="楷体"/>
          <w:sz w:val="28"/>
          <w:szCs w:val="28"/>
        </w:rPr>
        <w:fldChar w:fldCharType="end"/>
      </w:r>
    </w:p>
    <w:p>
      <w:pPr>
        <w:pStyle w:val="11"/>
        <w:tabs>
          <w:tab w:val="right" w:leader="dot" w:pos="8306"/>
        </w:tabs>
        <w:ind w:firstLine="0" w:firstLineChars="0"/>
        <w:rPr>
          <w:b/>
          <w:bCs/>
          <w:sz w:val="28"/>
          <w:szCs w:val="28"/>
        </w:rPr>
      </w:pPr>
      <w:r>
        <w:rPr>
          <w:rFonts w:hint="eastAsia" w:ascii="楷体" w:hAnsi="楷体" w:eastAsia="楷体" w:cs="楷体"/>
          <w:b/>
          <w:bCs/>
          <w:sz w:val="28"/>
          <w:szCs w:val="28"/>
        </w:rPr>
        <w:fldChar w:fldCharType="begin"/>
      </w:r>
      <w:r>
        <w:rPr>
          <w:rFonts w:hint="eastAsia" w:ascii="楷体" w:hAnsi="楷体" w:eastAsia="楷体" w:cs="楷体"/>
          <w:b/>
          <w:bCs/>
          <w:sz w:val="28"/>
          <w:szCs w:val="28"/>
        </w:rPr>
        <w:instrText xml:space="preserve"> HYPERLINK \l _Toc9114 </w:instrText>
      </w:r>
      <w:r>
        <w:rPr>
          <w:rFonts w:hint="eastAsia" w:ascii="楷体" w:hAnsi="楷体" w:eastAsia="楷体" w:cs="楷体"/>
          <w:b/>
          <w:bCs/>
          <w:sz w:val="28"/>
          <w:szCs w:val="28"/>
        </w:rPr>
        <w:fldChar w:fldCharType="separate"/>
      </w:r>
      <w:r>
        <w:rPr>
          <w:rFonts w:hint="eastAsia"/>
          <w:b/>
          <w:bCs/>
          <w:sz w:val="28"/>
          <w:szCs w:val="28"/>
          <w:highlight w:val="none"/>
        </w:rPr>
        <w:t>七、改进措施</w:t>
      </w:r>
      <w:r>
        <w:rPr>
          <w:b/>
          <w:bCs/>
          <w:sz w:val="28"/>
          <w:szCs w:val="28"/>
        </w:rPr>
        <w:tab/>
      </w:r>
      <w:r>
        <w:rPr>
          <w:b/>
          <w:bCs/>
          <w:sz w:val="28"/>
          <w:szCs w:val="28"/>
        </w:rPr>
        <w:fldChar w:fldCharType="begin"/>
      </w:r>
      <w:r>
        <w:rPr>
          <w:b/>
          <w:bCs/>
          <w:sz w:val="28"/>
          <w:szCs w:val="28"/>
        </w:rPr>
        <w:instrText xml:space="preserve"> PAGEREF _Toc9114 \h </w:instrText>
      </w:r>
      <w:r>
        <w:rPr>
          <w:b/>
          <w:bCs/>
          <w:sz w:val="28"/>
          <w:szCs w:val="28"/>
        </w:rPr>
        <w:fldChar w:fldCharType="separate"/>
      </w:r>
      <w:r>
        <w:rPr>
          <w:b/>
          <w:bCs/>
          <w:sz w:val="28"/>
          <w:szCs w:val="28"/>
        </w:rPr>
        <w:t>34</w:t>
      </w:r>
      <w:r>
        <w:rPr>
          <w:b/>
          <w:bCs/>
          <w:sz w:val="28"/>
          <w:szCs w:val="28"/>
        </w:rPr>
        <w:fldChar w:fldCharType="end"/>
      </w:r>
      <w:r>
        <w:rPr>
          <w:rFonts w:hint="eastAsia" w:ascii="楷体" w:hAnsi="楷体" w:eastAsia="楷体" w:cs="楷体"/>
          <w:b/>
          <w:bCs/>
          <w:sz w:val="28"/>
          <w:szCs w:val="28"/>
        </w:rPr>
        <w:fldChar w:fldCharType="end"/>
      </w:r>
    </w:p>
    <w:p>
      <w:pPr>
        <w:pStyle w:val="13"/>
        <w:tabs>
          <w:tab w:val="right" w:leader="dot" w:pos="8306"/>
        </w:tabs>
        <w:ind w:left="0" w:leftChars="0" w:firstLine="560"/>
        <w:rPr>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_Toc24058 </w:instrText>
      </w:r>
      <w:r>
        <w:rPr>
          <w:rFonts w:hint="eastAsia" w:ascii="楷体" w:hAnsi="楷体" w:eastAsia="楷体" w:cs="楷体"/>
          <w:sz w:val="28"/>
          <w:szCs w:val="28"/>
        </w:rPr>
        <w:fldChar w:fldCharType="separate"/>
      </w:r>
      <w:r>
        <w:rPr>
          <w:rFonts w:hint="eastAsia"/>
          <w:sz w:val="28"/>
          <w:szCs w:val="28"/>
          <w:highlight w:val="none"/>
        </w:rPr>
        <w:t>（一）改进建议</w:t>
      </w:r>
      <w:r>
        <w:rPr>
          <w:sz w:val="28"/>
          <w:szCs w:val="28"/>
        </w:rPr>
        <w:tab/>
      </w:r>
      <w:r>
        <w:rPr>
          <w:sz w:val="28"/>
          <w:szCs w:val="28"/>
        </w:rPr>
        <w:fldChar w:fldCharType="begin"/>
      </w:r>
      <w:r>
        <w:rPr>
          <w:sz w:val="28"/>
          <w:szCs w:val="28"/>
        </w:rPr>
        <w:instrText xml:space="preserve"> PAGEREF _Toc24058 \h </w:instrText>
      </w:r>
      <w:r>
        <w:rPr>
          <w:sz w:val="28"/>
          <w:szCs w:val="28"/>
        </w:rPr>
        <w:fldChar w:fldCharType="separate"/>
      </w:r>
      <w:r>
        <w:rPr>
          <w:sz w:val="28"/>
          <w:szCs w:val="28"/>
        </w:rPr>
        <w:t>34</w:t>
      </w:r>
      <w:r>
        <w:rPr>
          <w:sz w:val="28"/>
          <w:szCs w:val="28"/>
        </w:rPr>
        <w:fldChar w:fldCharType="end"/>
      </w:r>
      <w:r>
        <w:rPr>
          <w:rFonts w:hint="eastAsia" w:ascii="楷体" w:hAnsi="楷体" w:eastAsia="楷体" w:cs="楷体"/>
          <w:sz w:val="28"/>
          <w:szCs w:val="28"/>
        </w:rPr>
        <w:fldChar w:fldCharType="end"/>
      </w:r>
    </w:p>
    <w:p>
      <w:pPr>
        <w:pStyle w:val="13"/>
        <w:tabs>
          <w:tab w:val="right" w:leader="dot" w:pos="8306"/>
        </w:tabs>
        <w:ind w:left="0" w:leftChars="0" w:firstLine="560"/>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_Toc25073 </w:instrText>
      </w:r>
      <w:r>
        <w:rPr>
          <w:rFonts w:hint="eastAsia" w:ascii="楷体" w:hAnsi="楷体" w:eastAsia="楷体" w:cs="楷体"/>
          <w:sz w:val="28"/>
          <w:szCs w:val="28"/>
        </w:rPr>
        <w:fldChar w:fldCharType="separate"/>
      </w:r>
      <w:r>
        <w:rPr>
          <w:rFonts w:hint="eastAsia"/>
          <w:sz w:val="28"/>
          <w:szCs w:val="28"/>
          <w:highlight w:val="none"/>
        </w:rPr>
        <w:t>（二）下一步思路举措</w:t>
      </w:r>
      <w:r>
        <w:rPr>
          <w:sz w:val="28"/>
          <w:szCs w:val="28"/>
        </w:rPr>
        <w:tab/>
      </w:r>
      <w:r>
        <w:rPr>
          <w:sz w:val="28"/>
          <w:szCs w:val="28"/>
        </w:rPr>
        <w:fldChar w:fldCharType="begin"/>
      </w:r>
      <w:r>
        <w:rPr>
          <w:sz w:val="28"/>
          <w:szCs w:val="28"/>
        </w:rPr>
        <w:instrText xml:space="preserve"> PAGEREF _Toc25073 \h </w:instrText>
      </w:r>
      <w:r>
        <w:rPr>
          <w:sz w:val="28"/>
          <w:szCs w:val="28"/>
        </w:rPr>
        <w:fldChar w:fldCharType="separate"/>
      </w:r>
      <w:r>
        <w:rPr>
          <w:sz w:val="28"/>
          <w:szCs w:val="28"/>
        </w:rPr>
        <w:t>35</w:t>
      </w:r>
      <w:r>
        <w:rPr>
          <w:sz w:val="28"/>
          <w:szCs w:val="28"/>
        </w:rPr>
        <w:fldChar w:fldCharType="end"/>
      </w:r>
      <w:r>
        <w:rPr>
          <w:rFonts w:hint="eastAsia" w:ascii="楷体" w:hAnsi="楷体" w:eastAsia="楷体" w:cs="楷体"/>
          <w:sz w:val="28"/>
          <w:szCs w:val="28"/>
        </w:rPr>
        <w:fldChar w:fldCharType="end"/>
      </w:r>
    </w:p>
    <w:p>
      <w:pPr>
        <w:ind w:firstLine="0" w:firstLineChars="0"/>
        <w:jc w:val="left"/>
        <w:rPr>
          <w:rFonts w:hint="eastAsia" w:ascii="楷体" w:hAnsi="楷体" w:eastAsia="楷体" w:cs="楷体"/>
          <w:sz w:val="44"/>
          <w:szCs w:val="44"/>
        </w:rPr>
      </w:pPr>
      <w:r>
        <w:rPr>
          <w:rFonts w:hint="eastAsia" w:ascii="楷体" w:hAnsi="楷体" w:eastAsia="楷体" w:cs="楷体"/>
          <w:b/>
          <w:sz w:val="28"/>
          <w:szCs w:val="28"/>
        </w:rPr>
        <w:fldChar w:fldCharType="end"/>
      </w:r>
    </w:p>
    <w:p>
      <w:pPr>
        <w:spacing w:line="620" w:lineRule="exact"/>
        <w:rPr>
          <w:rFonts w:hint="eastAsia" w:ascii="楷体" w:hAnsi="楷体" w:eastAsia="楷体" w:cs="楷体"/>
          <w:sz w:val="32"/>
          <w:szCs w:val="32"/>
        </w:rPr>
      </w:pPr>
    </w:p>
    <w:p>
      <w:pPr>
        <w:tabs>
          <w:tab w:val="right" w:leader="dot" w:pos="8296"/>
        </w:tabs>
        <w:spacing w:line="620" w:lineRule="exact"/>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TOC \o "1-3" \h \z \u </w:instrText>
      </w:r>
      <w:r>
        <w:rPr>
          <w:rFonts w:hint="eastAsia" w:ascii="楷体" w:hAnsi="楷体" w:eastAsia="楷体" w:cs="楷体"/>
          <w:sz w:val="32"/>
          <w:szCs w:val="32"/>
        </w:rPr>
        <w:fldChar w:fldCharType="separate"/>
      </w:r>
    </w:p>
    <w:p>
      <w:pPr>
        <w:tabs>
          <w:tab w:val="right" w:leader="dot" w:pos="8296"/>
        </w:tabs>
        <w:spacing w:line="620" w:lineRule="exact"/>
        <w:rPr>
          <w:rFonts w:hint="eastAsia" w:ascii="楷体" w:hAnsi="楷体" w:eastAsia="楷体" w:cs="楷体"/>
          <w:sz w:val="32"/>
          <w:szCs w:val="32"/>
        </w:rPr>
      </w:pPr>
    </w:p>
    <w:p>
      <w:pPr>
        <w:spacing w:line="620" w:lineRule="exact"/>
        <w:ind w:firstLine="643"/>
        <w:rPr>
          <w:rFonts w:hint="eastAsia" w:ascii="楷体" w:hAnsi="楷体" w:eastAsia="楷体" w:cs="楷体"/>
          <w:sz w:val="32"/>
          <w:szCs w:val="32"/>
        </w:rPr>
      </w:pPr>
      <w:r>
        <w:rPr>
          <w:rFonts w:hint="eastAsia" w:ascii="楷体" w:hAnsi="楷体" w:eastAsia="楷体" w:cs="楷体"/>
          <w:b/>
          <w:bCs/>
          <w:sz w:val="32"/>
          <w:szCs w:val="32"/>
          <w:lang w:val="zh-CN"/>
        </w:rPr>
        <w:fldChar w:fldCharType="end"/>
      </w:r>
    </w:p>
    <w:p>
      <w:pPr>
        <w:ind w:firstLine="643"/>
        <w:jc w:val="left"/>
        <w:rPr>
          <w:rFonts w:hint="eastAsia" w:ascii="楷体" w:hAnsi="楷体" w:eastAsia="楷体" w:cs="楷体"/>
          <w:b/>
          <w:sz w:val="32"/>
          <w:szCs w:val="32"/>
        </w:rPr>
        <w:sectPr>
          <w:footerReference r:id="rId11" w:type="default"/>
          <w:footnotePr>
            <w:numFmt w:val="decimalEnclosedCircleChinese"/>
            <w:numRestart w:val="eachPage"/>
          </w:footnotePr>
          <w:pgSz w:w="11906" w:h="16838"/>
          <w:pgMar w:top="1440" w:right="1800" w:bottom="1440" w:left="1800" w:header="851" w:footer="992" w:gutter="0"/>
          <w:pgBorders>
            <w:top w:val="none" w:sz="0" w:space="0"/>
            <w:left w:val="none" w:sz="0" w:space="0"/>
            <w:bottom w:val="none" w:sz="0" w:space="0"/>
            <w:right w:val="none" w:sz="0" w:space="0"/>
          </w:pgBorders>
          <w:pgNumType w:fmt="upperRoman" w:start="1"/>
          <w:cols w:space="720" w:num="1"/>
          <w:docGrid w:type="lines" w:linePitch="312" w:charSpace="0"/>
        </w:sectPr>
      </w:pPr>
    </w:p>
    <w:p>
      <w:pPr>
        <w:pStyle w:val="3"/>
        <w:keepNext w:val="0"/>
        <w:keepLines w:val="0"/>
        <w:widowControl w:val="0"/>
        <w:ind w:firstLine="723" w:firstLineChars="200"/>
        <w:rPr>
          <w:rFonts w:hint="eastAsia" w:eastAsia="黑体"/>
          <w:lang w:eastAsia="zh-CN"/>
        </w:rPr>
      </w:pPr>
      <w:bookmarkStart w:id="10" w:name="_Toc14003"/>
      <w:bookmarkStart w:id="11" w:name="_Toc7770"/>
      <w:bookmarkStart w:id="12" w:name="_Toc67497709"/>
      <w:bookmarkStart w:id="13" w:name="_Toc127791861"/>
      <w:bookmarkStart w:id="14" w:name="_Toc3842"/>
      <w:bookmarkStart w:id="15" w:name="_Toc7946"/>
      <w:bookmarkStart w:id="16" w:name="_Toc32464"/>
      <w:bookmarkStart w:id="17" w:name="_Toc67497672"/>
      <w:r>
        <w:rPr>
          <w:rFonts w:hint="eastAsia"/>
        </w:rPr>
        <w:t>一、总体概况</w:t>
      </w:r>
      <w:bookmarkEnd w:id="10"/>
      <w:bookmarkEnd w:id="11"/>
      <w:bookmarkEnd w:id="12"/>
      <w:bookmarkEnd w:id="13"/>
      <w:bookmarkEnd w:id="14"/>
      <w:bookmarkEnd w:id="15"/>
      <w:bookmarkEnd w:id="16"/>
      <w:bookmarkEnd w:id="17"/>
    </w:p>
    <w:p>
      <w:pPr>
        <w:ind w:firstLine="480"/>
        <w:rPr>
          <w:rFonts w:hint="eastAsia"/>
          <w:highlight w:val="none"/>
        </w:rPr>
      </w:pPr>
      <w:r>
        <w:rPr>
          <w:rFonts w:hint="eastAsia"/>
          <w:highlight w:val="none"/>
          <w:lang w:val="en-US" w:eastAsia="zh-CN"/>
        </w:rPr>
        <w:t>广东省社会科学院是具有广东地方特色和优势的综合性哲学社会科学学术研究机构、新型高端智库、省委省政府的思想库和智囊团，前身为1958年成立的中国科学院广州哲学社会科学研究所，1980年更现名。建院65年以来，我院始终坚持解放思想、开拓创新，围绕中心、服务大局，充分发挥社会科学对社会的思想动员、舆论引导作用，为省委、省政府及各级地方党委、政府科学、民主决策提供理论支持和智力支撑，为繁荣发展广东哲学社会科学、促进广东改革开放和现代化建设作出了积极贡献，成为党和政府信得过、用得上、靠得住、离不开的思想库和智囊团。</w:t>
      </w:r>
    </w:p>
    <w:p>
      <w:pPr>
        <w:ind w:firstLine="480"/>
        <w:rPr>
          <w:rFonts w:hint="eastAsia"/>
          <w:highlight w:val="none"/>
        </w:rPr>
      </w:pPr>
      <w:r>
        <w:rPr>
          <w:rFonts w:hint="eastAsia"/>
          <w:highlight w:val="none"/>
          <w:lang w:val="en-US" w:eastAsia="zh-CN"/>
        </w:rPr>
        <w:t>近年来，我院坚持以习近平新时代中国特色社会主义思想为指导，锚定省委赋予的“广东社科界研究阐释新思想的主力军，广东基础学科建设的省代表队，省委省政府最重要的新型智库”三个新定位，以创新求突破，以改革促发展，深化科研改革、优化学科布局、完善科研平台、加强资源整合、激发科研动力，各项工作取得新进展，事业发展迈上新台阶，走在全国地方社科院前列。2017年底，作为经中共中央批准的全国首批10家习近平新时代中国特色社会主义思想研究中心（院）之一，广东省习近平新时代中国特色社会主义思想研究中心在我院挂牌。此外，在《中国智库报告》地方社科院系统综合影响力排名中，我院稳居前三，2018年在“地方社科院系统影响力”和“区域协调发展”研究议题最具有影响力智库排名中位列第一。</w:t>
      </w:r>
    </w:p>
    <w:p>
      <w:pPr>
        <w:ind w:firstLine="480"/>
        <w:rPr>
          <w:rFonts w:hint="eastAsia"/>
          <w:highlight w:val="none"/>
        </w:rPr>
      </w:pPr>
      <w:r>
        <w:rPr>
          <w:rFonts w:hint="eastAsia"/>
          <w:highlight w:val="none"/>
          <w:lang w:val="en-US" w:eastAsia="zh-CN"/>
        </w:rPr>
        <w:t>经过长期的建设与发展，我院形成以科研为中心，集科研、教学、传播、咨询和决策服务于一体的多功能综合性社会科学研究基地，打造了一批在全国乃至国际上都有一定地位的优长学科，建成了一支学科分布广、能对重大理论问题进行深层次研究、对重大现实问题做出快速决策应用研究的高素质社科研究队伍，炼就了杜国庠、卓炯、章沛、张磊等一批享誉海内外的专家学者，产出了一大批具有较高学术影响的理论成果以及获党委政府和社会各界认可、赞誉的决策研究成果。据不完全统计，共取得各类研究成果23150多项，出版著作1200余部，完成国家规划课题60多项，省社科规划课题120多项。有70多项成果获国家和省部级优秀成果奖，其中国家级成果奖7项，省部级成果奖60多项。进入新世纪以来，共完成院级以上课题2100多项，其中省领导交办课题860多项，430多项研究成果得到了省领导的肯定，并以多种形式被相关部门采用。张磊、梁桂全、王珺、李庆新同志先后被评为“广东省优秀社会科学家”。</w:t>
      </w:r>
    </w:p>
    <w:p>
      <w:pPr>
        <w:keepNext w:val="0"/>
        <w:keepLines w:val="0"/>
        <w:widowControl/>
        <w:suppressLineNumbers w:val="0"/>
        <w:jc w:val="left"/>
      </w:pPr>
      <w:r>
        <w:rPr>
          <w:rFonts w:hint="eastAsia"/>
          <w:highlight w:val="none"/>
          <w:lang w:val="en-US" w:eastAsia="zh-CN"/>
        </w:rPr>
        <w:t>我院是全国5家有权招收硕士研究生的地方社会科学院之一。1987年国务院学位委员会批准我院为硕士学位授予单位，1988年我院开始招收硕士研究生，现拥有理论经济学、应用经济学、社会学和中国史4个一级学科硕士学位授权点，</w:t>
      </w:r>
    </w:p>
    <w:p>
      <w:pPr>
        <w:ind w:firstLine="0" w:firstLineChars="0"/>
        <w:rPr>
          <w:rFonts w:hint="eastAsia"/>
          <w:highlight w:val="none"/>
        </w:rPr>
      </w:pPr>
      <w:r>
        <w:rPr>
          <w:rFonts w:hint="eastAsia"/>
          <w:highlight w:val="none"/>
          <w:lang w:val="en-US" w:eastAsia="zh-CN"/>
        </w:rPr>
        <w:t>13个二级学科硕士学位授权点以及一支老中青学者兼备、科研实力强劲的导师队伍。享受国务院特殊津贴专家14人，全国文化名家暨“四个一批”人才1人，国家“万人计划”哲学社会科学领军人才1人，广东省优秀社会科学家4人，“广东特支计划”领军人才5人、青年英才6人，广东省立法工作骨干人才1人。</w:t>
      </w:r>
    </w:p>
    <w:p>
      <w:pPr>
        <w:ind w:firstLine="480"/>
        <w:rPr>
          <w:rFonts w:hint="eastAsia"/>
          <w:highlight w:val="none"/>
        </w:rPr>
      </w:pPr>
      <w:r>
        <w:rPr>
          <w:rFonts w:hint="eastAsia"/>
          <w:highlight w:val="none"/>
          <w:lang w:val="en-US" w:eastAsia="zh-CN"/>
        </w:rPr>
        <w:t>在硕士研究生教育培养中，我院力求突出自己的特色，即以理论研究为基础，以广东经济社会发展中的重大问题为导向，强调基础研究和应用研究相结合。我院以师徒制、精英化、“多带一”的培养方式，给研究生提供更多实习实践机会，不断增强研究生上手快、适应性强的能力，在服务改革开放和现代化建设实践中培养研究生，不断提升研究生问题意识和解决问题的能力。“十四五”期间，我院计划实施“灯塔”工程、学科学位点拓展计划、研究生科研创新能力提升计划、研究生特色课程计划、研究生教育质量保障计划等研究生创新工程，强化研究生分类培养和创新能力提升，探索研究生教育高质量发展的地方社科院追赶范例，为党和国家事业发展培养德才兼备的高层次人才。</w:t>
      </w:r>
    </w:p>
    <w:p>
      <w:pPr>
        <w:pStyle w:val="4"/>
        <w:keepNext w:val="0"/>
        <w:keepLines w:val="0"/>
        <w:widowControl w:val="0"/>
        <w:ind w:firstLine="602" w:firstLineChars="200"/>
        <w:rPr>
          <w:rFonts w:hint="eastAsia"/>
        </w:rPr>
      </w:pPr>
      <w:bookmarkStart w:id="18" w:name="_Toc18183"/>
      <w:bookmarkStart w:id="19" w:name="_Toc67497673"/>
      <w:bookmarkStart w:id="20" w:name="_Toc67497710"/>
      <w:bookmarkStart w:id="21" w:name="_Toc27787"/>
      <w:bookmarkStart w:id="22" w:name="_Toc18114"/>
      <w:bookmarkStart w:id="23" w:name="_Toc22033"/>
      <w:bookmarkStart w:id="24" w:name="_Toc28940"/>
      <w:bookmarkStart w:id="25" w:name="_Toc127791862"/>
      <w:r>
        <w:rPr>
          <w:rFonts w:hint="eastAsia"/>
        </w:rPr>
        <w:t>（一）</w:t>
      </w:r>
      <w:bookmarkEnd w:id="18"/>
      <w:bookmarkEnd w:id="19"/>
      <w:bookmarkEnd w:id="20"/>
      <w:r>
        <w:rPr>
          <w:rFonts w:hint="eastAsia"/>
        </w:rPr>
        <w:t>学位授权点基本情况</w:t>
      </w:r>
      <w:bookmarkEnd w:id="21"/>
      <w:bookmarkEnd w:id="22"/>
      <w:bookmarkEnd w:id="23"/>
      <w:bookmarkEnd w:id="24"/>
      <w:bookmarkEnd w:id="25"/>
    </w:p>
    <w:p>
      <w:pPr>
        <w:ind w:firstLine="480"/>
        <w:rPr>
          <w:rFonts w:hint="eastAsia"/>
        </w:rPr>
      </w:pPr>
      <w:r>
        <w:rPr>
          <w:rFonts w:hint="eastAsia"/>
        </w:rPr>
        <w:t>截</w:t>
      </w:r>
      <w:r>
        <w:rPr>
          <w:rFonts w:hint="eastAsia"/>
          <w:highlight w:val="none"/>
        </w:rPr>
        <w:t>至202</w:t>
      </w:r>
      <w:r>
        <w:rPr>
          <w:rFonts w:hint="eastAsia"/>
          <w:highlight w:val="none"/>
          <w:lang w:eastAsia="zh-CN"/>
        </w:rPr>
        <w:t>3</w:t>
      </w:r>
      <w:r>
        <w:rPr>
          <w:rFonts w:hint="eastAsia"/>
          <w:highlight w:val="none"/>
        </w:rPr>
        <w:t>年</w:t>
      </w:r>
      <w:r>
        <w:rPr>
          <w:rFonts w:hint="eastAsia"/>
        </w:rPr>
        <w:t>底，我院共有4个一级学科硕士学位授权点，分别为理论经济学、应用经济学、社会学和中国史，涵盖经济学、</w:t>
      </w:r>
      <w:r>
        <w:rPr>
          <w:rFonts w:hint="eastAsia"/>
          <w:lang w:val="en-US" w:eastAsia="zh-CN"/>
        </w:rPr>
        <w:t>法学</w:t>
      </w:r>
      <w:r>
        <w:rPr>
          <w:rFonts w:hint="eastAsia"/>
        </w:rPr>
        <w:t>、历史学3个学科门类共计13个二级学科</w:t>
      </w:r>
      <w:r>
        <w:rPr>
          <w:rFonts w:hint="eastAsia"/>
          <w:lang w:eastAsia="zh-CN"/>
        </w:rPr>
        <w:t>（</w:t>
      </w:r>
      <w:r>
        <w:rPr>
          <w:rFonts w:hint="eastAsia"/>
          <w:lang w:val="en-US" w:eastAsia="zh-CN"/>
        </w:rPr>
        <w:t>见表1</w:t>
      </w:r>
      <w:r>
        <w:rPr>
          <w:rFonts w:hint="eastAsia"/>
          <w:lang w:eastAsia="zh-CN"/>
        </w:rPr>
        <w:t>）</w:t>
      </w:r>
      <w:r>
        <w:rPr>
          <w:rFonts w:hint="eastAsia"/>
        </w:rPr>
        <w:t>。其中，理论经济学下设3个二级学科，分别为政治经济学、西方经济学和人口</w:t>
      </w:r>
      <w:r>
        <w:rPr>
          <w:rFonts w:hint="eastAsia"/>
          <w:lang w:eastAsia="zh-CN"/>
        </w:rPr>
        <w:t>、</w:t>
      </w:r>
      <w:r>
        <w:rPr>
          <w:rFonts w:hint="eastAsia"/>
        </w:rPr>
        <w:t>资源与环境经济学</w:t>
      </w:r>
      <w:r>
        <w:rPr>
          <w:rFonts w:hint="eastAsia"/>
          <w:lang w:eastAsia="zh-CN"/>
        </w:rPr>
        <w:t>；</w:t>
      </w:r>
      <w:r>
        <w:rPr>
          <w:rFonts w:hint="eastAsia"/>
        </w:rPr>
        <w:t>应用经济学下设4个二级学科，分别为区域经济学、产业经济学、金融学和国际贸易学</w:t>
      </w:r>
      <w:r>
        <w:rPr>
          <w:rFonts w:hint="eastAsia"/>
          <w:lang w:eastAsia="zh-CN"/>
        </w:rPr>
        <w:t>；</w:t>
      </w:r>
      <w:r>
        <w:rPr>
          <w:rFonts w:hint="eastAsia"/>
        </w:rPr>
        <w:t>社会学下设3个二级学科，分别为社会学、人口学和民俗学</w:t>
      </w:r>
      <w:r>
        <w:rPr>
          <w:rFonts w:hint="eastAsia"/>
          <w:lang w:eastAsia="zh-CN"/>
        </w:rPr>
        <w:t>；</w:t>
      </w:r>
      <w:r>
        <w:rPr>
          <w:rFonts w:hint="eastAsia"/>
        </w:rPr>
        <w:t>中国史下设3个二级学科，分别为中国古代史、中国近现代史和专门史。</w:t>
      </w:r>
    </w:p>
    <w:p>
      <w:pPr>
        <w:ind w:firstLine="0" w:firstLineChars="0"/>
        <w:rPr>
          <w:rFonts w:hint="eastAsia"/>
        </w:rPr>
      </w:pPr>
    </w:p>
    <w:p>
      <w:pPr>
        <w:pStyle w:val="6"/>
        <w:spacing w:before="0" w:beforeLines="0" w:after="157" w:afterLines="50" w:line="240" w:lineRule="auto"/>
        <w:rPr>
          <w:rFonts w:hint="default" w:ascii="Times New Roman" w:hAnsi="Times New Roman"/>
          <w:b/>
          <w:bCs w:val="0"/>
        </w:rPr>
      </w:pPr>
      <w:r>
        <w:rPr>
          <w:rFonts w:hint="default" w:ascii="Times New Roman" w:hAnsi="Times New Roman"/>
          <w:b/>
          <w:bCs w:val="0"/>
        </w:rPr>
        <w:t>表</w:t>
      </w:r>
      <w:r>
        <w:rPr>
          <w:rFonts w:hint="default" w:ascii="Times New Roman" w:hAnsi="Times New Roman"/>
          <w:b/>
          <w:bCs w:val="0"/>
        </w:rPr>
        <w:fldChar w:fldCharType="begin"/>
      </w:r>
      <w:r>
        <w:rPr>
          <w:rFonts w:hint="default" w:ascii="Times New Roman" w:hAnsi="Times New Roman"/>
          <w:b/>
          <w:bCs w:val="0"/>
        </w:rPr>
        <w:instrText xml:space="preserve"> SEQ 表 \* ARABIC </w:instrText>
      </w:r>
      <w:r>
        <w:rPr>
          <w:rFonts w:hint="default" w:ascii="Times New Roman" w:hAnsi="Times New Roman"/>
          <w:b/>
          <w:bCs w:val="0"/>
        </w:rPr>
        <w:fldChar w:fldCharType="separate"/>
      </w:r>
      <w:r>
        <w:rPr>
          <w:rFonts w:ascii="Times New Roman" w:hAnsi="Times New Roman"/>
          <w:b/>
          <w:bCs w:val="0"/>
        </w:rPr>
        <w:t>1</w:t>
      </w:r>
      <w:r>
        <w:rPr>
          <w:rFonts w:hint="default" w:ascii="Times New Roman" w:hAnsi="Times New Roman"/>
          <w:b/>
          <w:bCs w:val="0"/>
        </w:rPr>
        <w:fldChar w:fldCharType="end"/>
      </w:r>
      <w:r>
        <w:rPr>
          <w:rFonts w:hint="default" w:ascii="Times New Roman" w:hAnsi="Times New Roman"/>
          <w:b/>
          <w:bCs w:val="0"/>
        </w:rPr>
        <w:t xml:space="preserve">  学</w:t>
      </w:r>
      <w:r>
        <w:rPr>
          <w:rFonts w:hint="default" w:ascii="Times New Roman" w:hAnsi="Times New Roman"/>
          <w:b/>
          <w:bCs w:val="0"/>
          <w:lang w:eastAsia="zh-CN"/>
        </w:rPr>
        <w:t>位</w:t>
      </w:r>
      <w:r>
        <w:rPr>
          <w:rFonts w:hint="default" w:ascii="Times New Roman" w:hAnsi="Times New Roman"/>
          <w:b/>
          <w:bCs w:val="0"/>
        </w:rPr>
        <w:t>授权点</w:t>
      </w:r>
      <w:r>
        <w:rPr>
          <w:rFonts w:hint="default" w:ascii="Times New Roman" w:hAnsi="Times New Roman"/>
          <w:b/>
          <w:bCs w:val="0"/>
          <w:lang w:eastAsia="zh-CN"/>
        </w:rPr>
        <w:t>及结构</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1275"/>
        <w:gridCol w:w="1560"/>
        <w:gridCol w:w="1700"/>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6" w:type="pct"/>
            <w:noWrap w:val="0"/>
            <w:vAlign w:val="top"/>
          </w:tcPr>
          <w:p>
            <w:pPr>
              <w:pStyle w:val="30"/>
              <w:widowControl w:val="0"/>
              <w:spacing w:line="240" w:lineRule="auto"/>
              <w:rPr>
                <w:rFonts w:hint="eastAsia"/>
                <w:szCs w:val="21"/>
              </w:rPr>
            </w:pPr>
            <w:r>
              <w:rPr>
                <w:rFonts w:hint="eastAsia"/>
                <w:szCs w:val="21"/>
              </w:rPr>
              <w:t>门类代码</w:t>
            </w:r>
          </w:p>
        </w:tc>
        <w:tc>
          <w:tcPr>
            <w:tcW w:w="748" w:type="pct"/>
            <w:noWrap w:val="0"/>
            <w:vAlign w:val="top"/>
          </w:tcPr>
          <w:p>
            <w:pPr>
              <w:pStyle w:val="30"/>
              <w:widowControl w:val="0"/>
              <w:spacing w:line="240" w:lineRule="auto"/>
              <w:rPr>
                <w:rFonts w:hint="eastAsia"/>
                <w:szCs w:val="21"/>
              </w:rPr>
            </w:pPr>
            <w:r>
              <w:rPr>
                <w:rFonts w:hint="eastAsia"/>
                <w:szCs w:val="21"/>
              </w:rPr>
              <w:t>学科门类</w:t>
            </w:r>
          </w:p>
        </w:tc>
        <w:tc>
          <w:tcPr>
            <w:tcW w:w="915" w:type="pct"/>
            <w:noWrap w:val="0"/>
            <w:vAlign w:val="top"/>
          </w:tcPr>
          <w:p>
            <w:pPr>
              <w:pStyle w:val="30"/>
              <w:widowControl w:val="0"/>
              <w:spacing w:line="240" w:lineRule="auto"/>
              <w:rPr>
                <w:rFonts w:hint="eastAsia"/>
                <w:szCs w:val="21"/>
              </w:rPr>
            </w:pPr>
            <w:r>
              <w:rPr>
                <w:rFonts w:hint="eastAsia"/>
                <w:szCs w:val="21"/>
              </w:rPr>
              <w:t>一级学科代码</w:t>
            </w:r>
          </w:p>
        </w:tc>
        <w:tc>
          <w:tcPr>
            <w:tcW w:w="997" w:type="pct"/>
            <w:noWrap w:val="0"/>
            <w:vAlign w:val="top"/>
          </w:tcPr>
          <w:p>
            <w:pPr>
              <w:pStyle w:val="30"/>
              <w:widowControl w:val="0"/>
              <w:spacing w:line="240" w:lineRule="auto"/>
              <w:rPr>
                <w:rFonts w:hint="eastAsia"/>
                <w:szCs w:val="21"/>
              </w:rPr>
            </w:pPr>
            <w:r>
              <w:rPr>
                <w:rFonts w:hint="eastAsia"/>
                <w:szCs w:val="21"/>
              </w:rPr>
              <w:t>一级学科名称</w:t>
            </w:r>
          </w:p>
        </w:tc>
        <w:tc>
          <w:tcPr>
            <w:tcW w:w="1693" w:type="pct"/>
            <w:noWrap w:val="0"/>
            <w:vAlign w:val="top"/>
          </w:tcPr>
          <w:p>
            <w:pPr>
              <w:pStyle w:val="30"/>
              <w:widowControl w:val="0"/>
              <w:spacing w:line="240" w:lineRule="auto"/>
              <w:rPr>
                <w:rFonts w:hint="eastAsia"/>
                <w:szCs w:val="21"/>
              </w:rPr>
            </w:pPr>
            <w:r>
              <w:rPr>
                <w:rFonts w:hint="eastAsia"/>
                <w:szCs w:val="21"/>
              </w:rPr>
              <w:t>二级学科名称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6" w:type="pct"/>
            <w:vMerge w:val="restart"/>
            <w:noWrap w:val="0"/>
            <w:vAlign w:val="center"/>
          </w:tcPr>
          <w:p>
            <w:pPr>
              <w:pStyle w:val="30"/>
              <w:widowControl w:val="0"/>
              <w:spacing w:line="240" w:lineRule="auto"/>
              <w:rPr>
                <w:rFonts w:hint="eastAsia"/>
                <w:szCs w:val="21"/>
              </w:rPr>
            </w:pPr>
            <w:r>
              <w:rPr>
                <w:rFonts w:hint="eastAsia"/>
                <w:szCs w:val="21"/>
              </w:rPr>
              <w:t>02</w:t>
            </w:r>
          </w:p>
        </w:tc>
        <w:tc>
          <w:tcPr>
            <w:tcW w:w="748" w:type="pct"/>
            <w:vMerge w:val="restart"/>
            <w:noWrap w:val="0"/>
            <w:vAlign w:val="center"/>
          </w:tcPr>
          <w:p>
            <w:pPr>
              <w:pStyle w:val="30"/>
              <w:widowControl w:val="0"/>
              <w:spacing w:line="240" w:lineRule="auto"/>
              <w:rPr>
                <w:rFonts w:hint="eastAsia"/>
                <w:szCs w:val="21"/>
              </w:rPr>
            </w:pPr>
            <w:r>
              <w:rPr>
                <w:rFonts w:hint="eastAsia"/>
                <w:szCs w:val="21"/>
              </w:rPr>
              <w:t>经济学</w:t>
            </w:r>
          </w:p>
        </w:tc>
        <w:tc>
          <w:tcPr>
            <w:tcW w:w="915" w:type="pct"/>
            <w:vMerge w:val="restart"/>
            <w:noWrap w:val="0"/>
            <w:vAlign w:val="center"/>
          </w:tcPr>
          <w:p>
            <w:pPr>
              <w:pStyle w:val="30"/>
              <w:widowControl w:val="0"/>
              <w:spacing w:line="240" w:lineRule="auto"/>
              <w:rPr>
                <w:rFonts w:hint="eastAsia"/>
                <w:szCs w:val="21"/>
              </w:rPr>
            </w:pPr>
            <w:r>
              <w:rPr>
                <w:rFonts w:hint="eastAsia"/>
                <w:szCs w:val="21"/>
              </w:rPr>
              <w:t>0201</w:t>
            </w:r>
          </w:p>
        </w:tc>
        <w:tc>
          <w:tcPr>
            <w:tcW w:w="997" w:type="pct"/>
            <w:vMerge w:val="restart"/>
            <w:noWrap w:val="0"/>
            <w:vAlign w:val="center"/>
          </w:tcPr>
          <w:p>
            <w:pPr>
              <w:pStyle w:val="30"/>
              <w:widowControl w:val="0"/>
              <w:spacing w:line="240" w:lineRule="auto"/>
              <w:rPr>
                <w:rFonts w:hint="eastAsia"/>
                <w:szCs w:val="21"/>
              </w:rPr>
            </w:pPr>
            <w:r>
              <w:rPr>
                <w:rFonts w:hint="eastAsia"/>
                <w:szCs w:val="21"/>
              </w:rPr>
              <w:t>理论经济学</w:t>
            </w:r>
          </w:p>
        </w:tc>
        <w:tc>
          <w:tcPr>
            <w:tcW w:w="1693" w:type="pct"/>
            <w:noWrap w:val="0"/>
            <w:vAlign w:val="center"/>
          </w:tcPr>
          <w:p>
            <w:pPr>
              <w:pStyle w:val="30"/>
              <w:widowControl w:val="0"/>
              <w:spacing w:line="240" w:lineRule="auto"/>
              <w:rPr>
                <w:rFonts w:hint="eastAsia"/>
                <w:szCs w:val="21"/>
              </w:rPr>
            </w:pPr>
            <w:r>
              <w:rPr>
                <w:rFonts w:hint="eastAsia"/>
                <w:szCs w:val="21"/>
              </w:rPr>
              <w:t>政治经济学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6" w:type="pct"/>
            <w:vMerge w:val="continue"/>
            <w:noWrap w:val="0"/>
            <w:vAlign w:val="center"/>
          </w:tcPr>
          <w:p>
            <w:pPr>
              <w:pStyle w:val="30"/>
              <w:widowControl w:val="0"/>
              <w:spacing w:line="240" w:lineRule="auto"/>
              <w:rPr>
                <w:rFonts w:hint="eastAsia"/>
                <w:szCs w:val="21"/>
              </w:rPr>
            </w:pPr>
          </w:p>
        </w:tc>
        <w:tc>
          <w:tcPr>
            <w:tcW w:w="748" w:type="pct"/>
            <w:vMerge w:val="continue"/>
            <w:noWrap w:val="0"/>
            <w:vAlign w:val="center"/>
          </w:tcPr>
          <w:p>
            <w:pPr>
              <w:pStyle w:val="30"/>
              <w:widowControl w:val="0"/>
              <w:spacing w:line="240" w:lineRule="auto"/>
              <w:rPr>
                <w:rFonts w:hint="eastAsia"/>
                <w:szCs w:val="21"/>
              </w:rPr>
            </w:pPr>
          </w:p>
        </w:tc>
        <w:tc>
          <w:tcPr>
            <w:tcW w:w="915" w:type="pct"/>
            <w:vMerge w:val="continue"/>
            <w:noWrap w:val="0"/>
            <w:vAlign w:val="center"/>
          </w:tcPr>
          <w:p>
            <w:pPr>
              <w:pStyle w:val="30"/>
              <w:widowControl w:val="0"/>
              <w:spacing w:line="240" w:lineRule="auto"/>
              <w:rPr>
                <w:rFonts w:hint="eastAsia"/>
                <w:szCs w:val="21"/>
              </w:rPr>
            </w:pPr>
          </w:p>
        </w:tc>
        <w:tc>
          <w:tcPr>
            <w:tcW w:w="997" w:type="pct"/>
            <w:vMerge w:val="continue"/>
            <w:noWrap w:val="0"/>
            <w:vAlign w:val="center"/>
          </w:tcPr>
          <w:p>
            <w:pPr>
              <w:pStyle w:val="30"/>
              <w:widowControl w:val="0"/>
              <w:spacing w:line="240" w:lineRule="auto"/>
              <w:rPr>
                <w:rFonts w:hint="eastAsia"/>
                <w:szCs w:val="21"/>
              </w:rPr>
            </w:pPr>
          </w:p>
        </w:tc>
        <w:tc>
          <w:tcPr>
            <w:tcW w:w="1693" w:type="pct"/>
            <w:noWrap w:val="0"/>
            <w:vAlign w:val="center"/>
          </w:tcPr>
          <w:p>
            <w:pPr>
              <w:pStyle w:val="30"/>
              <w:widowControl w:val="0"/>
              <w:spacing w:line="240" w:lineRule="auto"/>
              <w:rPr>
                <w:rFonts w:hint="eastAsia"/>
                <w:szCs w:val="21"/>
              </w:rPr>
            </w:pPr>
            <w:r>
              <w:rPr>
                <w:rFonts w:hint="eastAsia"/>
                <w:szCs w:val="21"/>
              </w:rPr>
              <w:t>西方经济学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6" w:type="pct"/>
            <w:vMerge w:val="continue"/>
            <w:noWrap w:val="0"/>
            <w:vAlign w:val="center"/>
          </w:tcPr>
          <w:p>
            <w:pPr>
              <w:pStyle w:val="30"/>
              <w:widowControl w:val="0"/>
              <w:spacing w:line="240" w:lineRule="auto"/>
              <w:rPr>
                <w:rFonts w:hint="eastAsia"/>
                <w:szCs w:val="21"/>
              </w:rPr>
            </w:pPr>
          </w:p>
        </w:tc>
        <w:tc>
          <w:tcPr>
            <w:tcW w:w="748" w:type="pct"/>
            <w:vMerge w:val="continue"/>
            <w:noWrap w:val="0"/>
            <w:vAlign w:val="center"/>
          </w:tcPr>
          <w:p>
            <w:pPr>
              <w:pStyle w:val="30"/>
              <w:widowControl w:val="0"/>
              <w:spacing w:line="240" w:lineRule="auto"/>
              <w:rPr>
                <w:rFonts w:hint="eastAsia"/>
                <w:szCs w:val="21"/>
              </w:rPr>
            </w:pPr>
          </w:p>
        </w:tc>
        <w:tc>
          <w:tcPr>
            <w:tcW w:w="915" w:type="pct"/>
            <w:vMerge w:val="continue"/>
            <w:noWrap w:val="0"/>
            <w:vAlign w:val="center"/>
          </w:tcPr>
          <w:p>
            <w:pPr>
              <w:pStyle w:val="30"/>
              <w:widowControl w:val="0"/>
              <w:spacing w:line="240" w:lineRule="auto"/>
              <w:rPr>
                <w:rFonts w:hint="eastAsia"/>
                <w:szCs w:val="21"/>
              </w:rPr>
            </w:pPr>
          </w:p>
        </w:tc>
        <w:tc>
          <w:tcPr>
            <w:tcW w:w="997" w:type="pct"/>
            <w:vMerge w:val="continue"/>
            <w:noWrap w:val="0"/>
            <w:vAlign w:val="center"/>
          </w:tcPr>
          <w:p>
            <w:pPr>
              <w:pStyle w:val="30"/>
              <w:widowControl w:val="0"/>
              <w:spacing w:line="240" w:lineRule="auto"/>
              <w:rPr>
                <w:rFonts w:hint="eastAsia"/>
                <w:szCs w:val="21"/>
              </w:rPr>
            </w:pPr>
          </w:p>
        </w:tc>
        <w:tc>
          <w:tcPr>
            <w:tcW w:w="1693" w:type="pct"/>
            <w:noWrap w:val="0"/>
            <w:vAlign w:val="center"/>
          </w:tcPr>
          <w:p>
            <w:pPr>
              <w:pStyle w:val="30"/>
              <w:widowControl w:val="0"/>
              <w:spacing w:line="240" w:lineRule="auto"/>
              <w:rPr>
                <w:rFonts w:hint="eastAsia"/>
                <w:szCs w:val="21"/>
              </w:rPr>
            </w:pPr>
            <w:r>
              <w:rPr>
                <w:rFonts w:hint="eastAsia"/>
                <w:szCs w:val="21"/>
              </w:rPr>
              <w:t>人口</w:t>
            </w:r>
            <w:r>
              <w:rPr>
                <w:rFonts w:hint="eastAsia"/>
                <w:szCs w:val="21"/>
                <w:lang w:eastAsia="zh-CN"/>
              </w:rPr>
              <w:t>、</w:t>
            </w:r>
            <w:r>
              <w:rPr>
                <w:rFonts w:hint="eastAsia"/>
                <w:szCs w:val="21"/>
              </w:rPr>
              <w:t>资源与环境经济学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6" w:type="pct"/>
            <w:vMerge w:val="continue"/>
            <w:noWrap w:val="0"/>
            <w:vAlign w:val="center"/>
          </w:tcPr>
          <w:p>
            <w:pPr>
              <w:pStyle w:val="30"/>
              <w:widowControl w:val="0"/>
              <w:spacing w:line="240" w:lineRule="auto"/>
              <w:rPr>
                <w:rFonts w:hint="eastAsia"/>
                <w:szCs w:val="21"/>
              </w:rPr>
            </w:pPr>
          </w:p>
        </w:tc>
        <w:tc>
          <w:tcPr>
            <w:tcW w:w="748" w:type="pct"/>
            <w:vMerge w:val="continue"/>
            <w:noWrap w:val="0"/>
            <w:vAlign w:val="center"/>
          </w:tcPr>
          <w:p>
            <w:pPr>
              <w:pStyle w:val="30"/>
              <w:widowControl w:val="0"/>
              <w:spacing w:line="240" w:lineRule="auto"/>
              <w:rPr>
                <w:rFonts w:hint="eastAsia"/>
                <w:szCs w:val="21"/>
              </w:rPr>
            </w:pPr>
          </w:p>
        </w:tc>
        <w:tc>
          <w:tcPr>
            <w:tcW w:w="915" w:type="pct"/>
            <w:vMerge w:val="restart"/>
            <w:noWrap w:val="0"/>
            <w:vAlign w:val="center"/>
          </w:tcPr>
          <w:p>
            <w:pPr>
              <w:pStyle w:val="30"/>
              <w:widowControl w:val="0"/>
              <w:spacing w:line="240" w:lineRule="auto"/>
              <w:rPr>
                <w:rFonts w:hint="eastAsia"/>
                <w:szCs w:val="21"/>
              </w:rPr>
            </w:pPr>
            <w:r>
              <w:rPr>
                <w:rFonts w:hint="eastAsia"/>
                <w:szCs w:val="21"/>
              </w:rPr>
              <w:t>0202</w:t>
            </w:r>
          </w:p>
        </w:tc>
        <w:tc>
          <w:tcPr>
            <w:tcW w:w="997" w:type="pct"/>
            <w:vMerge w:val="restart"/>
            <w:noWrap w:val="0"/>
            <w:vAlign w:val="center"/>
          </w:tcPr>
          <w:p>
            <w:pPr>
              <w:pStyle w:val="30"/>
              <w:widowControl w:val="0"/>
              <w:spacing w:line="240" w:lineRule="auto"/>
              <w:rPr>
                <w:rFonts w:hint="eastAsia"/>
                <w:szCs w:val="21"/>
              </w:rPr>
            </w:pPr>
            <w:r>
              <w:rPr>
                <w:rFonts w:hint="eastAsia"/>
                <w:szCs w:val="21"/>
              </w:rPr>
              <w:t>应用经济学</w:t>
            </w:r>
          </w:p>
        </w:tc>
        <w:tc>
          <w:tcPr>
            <w:tcW w:w="1693" w:type="pct"/>
            <w:noWrap w:val="0"/>
            <w:vAlign w:val="center"/>
          </w:tcPr>
          <w:p>
            <w:pPr>
              <w:pStyle w:val="30"/>
              <w:widowControl w:val="0"/>
              <w:spacing w:line="240" w:lineRule="auto"/>
              <w:rPr>
                <w:rFonts w:hint="eastAsia"/>
                <w:szCs w:val="21"/>
              </w:rPr>
            </w:pPr>
            <w:r>
              <w:rPr>
                <w:rFonts w:hint="eastAsia"/>
                <w:szCs w:val="21"/>
              </w:rPr>
              <w:t>区域经济学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6" w:type="pct"/>
            <w:vMerge w:val="continue"/>
            <w:noWrap w:val="0"/>
            <w:vAlign w:val="center"/>
          </w:tcPr>
          <w:p>
            <w:pPr>
              <w:pStyle w:val="30"/>
              <w:widowControl w:val="0"/>
              <w:spacing w:line="240" w:lineRule="auto"/>
              <w:rPr>
                <w:rFonts w:hint="eastAsia"/>
                <w:szCs w:val="21"/>
              </w:rPr>
            </w:pPr>
          </w:p>
        </w:tc>
        <w:tc>
          <w:tcPr>
            <w:tcW w:w="748" w:type="pct"/>
            <w:vMerge w:val="continue"/>
            <w:noWrap w:val="0"/>
            <w:vAlign w:val="center"/>
          </w:tcPr>
          <w:p>
            <w:pPr>
              <w:pStyle w:val="30"/>
              <w:widowControl w:val="0"/>
              <w:spacing w:line="240" w:lineRule="auto"/>
              <w:rPr>
                <w:rFonts w:hint="eastAsia"/>
                <w:szCs w:val="21"/>
              </w:rPr>
            </w:pPr>
          </w:p>
        </w:tc>
        <w:tc>
          <w:tcPr>
            <w:tcW w:w="915" w:type="pct"/>
            <w:vMerge w:val="continue"/>
            <w:noWrap w:val="0"/>
            <w:vAlign w:val="center"/>
          </w:tcPr>
          <w:p>
            <w:pPr>
              <w:pStyle w:val="30"/>
              <w:widowControl w:val="0"/>
              <w:spacing w:line="240" w:lineRule="auto"/>
              <w:rPr>
                <w:rFonts w:hint="eastAsia"/>
                <w:szCs w:val="21"/>
              </w:rPr>
            </w:pPr>
          </w:p>
        </w:tc>
        <w:tc>
          <w:tcPr>
            <w:tcW w:w="997" w:type="pct"/>
            <w:vMerge w:val="continue"/>
            <w:noWrap w:val="0"/>
            <w:vAlign w:val="center"/>
          </w:tcPr>
          <w:p>
            <w:pPr>
              <w:pStyle w:val="30"/>
              <w:widowControl w:val="0"/>
              <w:spacing w:line="240" w:lineRule="auto"/>
              <w:rPr>
                <w:rFonts w:hint="eastAsia"/>
                <w:szCs w:val="21"/>
              </w:rPr>
            </w:pPr>
          </w:p>
        </w:tc>
        <w:tc>
          <w:tcPr>
            <w:tcW w:w="1693" w:type="pct"/>
            <w:noWrap w:val="0"/>
            <w:vAlign w:val="center"/>
          </w:tcPr>
          <w:p>
            <w:pPr>
              <w:pStyle w:val="30"/>
              <w:widowControl w:val="0"/>
              <w:spacing w:line="240" w:lineRule="auto"/>
              <w:rPr>
                <w:rFonts w:hint="eastAsia"/>
                <w:szCs w:val="21"/>
              </w:rPr>
            </w:pPr>
            <w:r>
              <w:rPr>
                <w:rFonts w:hint="eastAsia"/>
                <w:szCs w:val="21"/>
              </w:rPr>
              <w:t>产业经济学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6" w:type="pct"/>
            <w:vMerge w:val="continue"/>
            <w:noWrap w:val="0"/>
            <w:vAlign w:val="center"/>
          </w:tcPr>
          <w:p>
            <w:pPr>
              <w:pStyle w:val="30"/>
              <w:widowControl w:val="0"/>
              <w:spacing w:line="240" w:lineRule="auto"/>
              <w:rPr>
                <w:rFonts w:hint="eastAsia"/>
                <w:szCs w:val="21"/>
              </w:rPr>
            </w:pPr>
          </w:p>
        </w:tc>
        <w:tc>
          <w:tcPr>
            <w:tcW w:w="748" w:type="pct"/>
            <w:vMerge w:val="continue"/>
            <w:noWrap w:val="0"/>
            <w:vAlign w:val="center"/>
          </w:tcPr>
          <w:p>
            <w:pPr>
              <w:pStyle w:val="30"/>
              <w:widowControl w:val="0"/>
              <w:spacing w:line="240" w:lineRule="auto"/>
              <w:rPr>
                <w:rFonts w:hint="eastAsia"/>
                <w:szCs w:val="21"/>
              </w:rPr>
            </w:pPr>
          </w:p>
        </w:tc>
        <w:tc>
          <w:tcPr>
            <w:tcW w:w="915" w:type="pct"/>
            <w:vMerge w:val="continue"/>
            <w:noWrap w:val="0"/>
            <w:vAlign w:val="center"/>
          </w:tcPr>
          <w:p>
            <w:pPr>
              <w:pStyle w:val="30"/>
              <w:widowControl w:val="0"/>
              <w:spacing w:line="240" w:lineRule="auto"/>
              <w:rPr>
                <w:rFonts w:hint="eastAsia"/>
                <w:szCs w:val="21"/>
              </w:rPr>
            </w:pPr>
          </w:p>
        </w:tc>
        <w:tc>
          <w:tcPr>
            <w:tcW w:w="997" w:type="pct"/>
            <w:vMerge w:val="continue"/>
            <w:noWrap w:val="0"/>
            <w:vAlign w:val="center"/>
          </w:tcPr>
          <w:p>
            <w:pPr>
              <w:pStyle w:val="30"/>
              <w:widowControl w:val="0"/>
              <w:spacing w:line="240" w:lineRule="auto"/>
              <w:rPr>
                <w:rFonts w:hint="eastAsia"/>
                <w:szCs w:val="21"/>
              </w:rPr>
            </w:pPr>
          </w:p>
        </w:tc>
        <w:tc>
          <w:tcPr>
            <w:tcW w:w="1693" w:type="pct"/>
            <w:noWrap w:val="0"/>
            <w:vAlign w:val="center"/>
          </w:tcPr>
          <w:p>
            <w:pPr>
              <w:pStyle w:val="30"/>
              <w:widowControl w:val="0"/>
              <w:spacing w:line="240" w:lineRule="auto"/>
              <w:rPr>
                <w:rFonts w:hint="eastAsia"/>
                <w:szCs w:val="21"/>
              </w:rPr>
            </w:pPr>
            <w:r>
              <w:rPr>
                <w:rFonts w:hint="eastAsia"/>
                <w:szCs w:val="21"/>
              </w:rPr>
              <w:t>金融学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6" w:type="pct"/>
            <w:vMerge w:val="continue"/>
            <w:noWrap w:val="0"/>
            <w:vAlign w:val="center"/>
          </w:tcPr>
          <w:p>
            <w:pPr>
              <w:pStyle w:val="30"/>
              <w:widowControl w:val="0"/>
              <w:spacing w:line="240" w:lineRule="auto"/>
              <w:rPr>
                <w:rFonts w:hint="eastAsia"/>
                <w:szCs w:val="21"/>
              </w:rPr>
            </w:pPr>
          </w:p>
        </w:tc>
        <w:tc>
          <w:tcPr>
            <w:tcW w:w="748" w:type="pct"/>
            <w:vMerge w:val="continue"/>
            <w:noWrap w:val="0"/>
            <w:vAlign w:val="center"/>
          </w:tcPr>
          <w:p>
            <w:pPr>
              <w:pStyle w:val="30"/>
              <w:widowControl w:val="0"/>
              <w:spacing w:line="240" w:lineRule="auto"/>
              <w:rPr>
                <w:rFonts w:hint="eastAsia"/>
                <w:szCs w:val="21"/>
              </w:rPr>
            </w:pPr>
          </w:p>
        </w:tc>
        <w:tc>
          <w:tcPr>
            <w:tcW w:w="915" w:type="pct"/>
            <w:vMerge w:val="continue"/>
            <w:noWrap w:val="0"/>
            <w:vAlign w:val="center"/>
          </w:tcPr>
          <w:p>
            <w:pPr>
              <w:pStyle w:val="30"/>
              <w:widowControl w:val="0"/>
              <w:spacing w:line="240" w:lineRule="auto"/>
              <w:rPr>
                <w:rFonts w:hint="eastAsia"/>
                <w:szCs w:val="21"/>
              </w:rPr>
            </w:pPr>
          </w:p>
        </w:tc>
        <w:tc>
          <w:tcPr>
            <w:tcW w:w="997" w:type="pct"/>
            <w:vMerge w:val="continue"/>
            <w:noWrap w:val="0"/>
            <w:vAlign w:val="center"/>
          </w:tcPr>
          <w:p>
            <w:pPr>
              <w:pStyle w:val="30"/>
              <w:widowControl w:val="0"/>
              <w:spacing w:line="240" w:lineRule="auto"/>
              <w:rPr>
                <w:rFonts w:hint="eastAsia"/>
                <w:szCs w:val="21"/>
              </w:rPr>
            </w:pPr>
          </w:p>
        </w:tc>
        <w:tc>
          <w:tcPr>
            <w:tcW w:w="1693" w:type="pct"/>
            <w:noWrap w:val="0"/>
            <w:vAlign w:val="center"/>
          </w:tcPr>
          <w:p>
            <w:pPr>
              <w:pStyle w:val="30"/>
              <w:widowControl w:val="0"/>
              <w:spacing w:line="240" w:lineRule="auto"/>
              <w:rPr>
                <w:rFonts w:hint="eastAsia"/>
                <w:szCs w:val="21"/>
              </w:rPr>
            </w:pPr>
            <w:r>
              <w:rPr>
                <w:rFonts w:hint="eastAsia"/>
                <w:szCs w:val="21"/>
              </w:rPr>
              <w:t>国际贸易学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6" w:type="pct"/>
            <w:vMerge w:val="restart"/>
            <w:noWrap w:val="0"/>
            <w:vAlign w:val="center"/>
          </w:tcPr>
          <w:p>
            <w:pPr>
              <w:pStyle w:val="30"/>
              <w:widowControl w:val="0"/>
              <w:spacing w:line="240" w:lineRule="auto"/>
              <w:rPr>
                <w:rFonts w:hint="eastAsia"/>
                <w:szCs w:val="21"/>
              </w:rPr>
            </w:pPr>
            <w:r>
              <w:rPr>
                <w:rFonts w:hint="eastAsia"/>
                <w:szCs w:val="21"/>
              </w:rPr>
              <w:t>03</w:t>
            </w:r>
          </w:p>
        </w:tc>
        <w:tc>
          <w:tcPr>
            <w:tcW w:w="748" w:type="pct"/>
            <w:vMerge w:val="restart"/>
            <w:noWrap w:val="0"/>
            <w:vAlign w:val="center"/>
          </w:tcPr>
          <w:p>
            <w:pPr>
              <w:pStyle w:val="30"/>
              <w:widowControl w:val="0"/>
              <w:spacing w:line="240" w:lineRule="auto"/>
              <w:rPr>
                <w:rFonts w:hint="eastAsia"/>
                <w:szCs w:val="21"/>
              </w:rPr>
            </w:pPr>
            <w:r>
              <w:rPr>
                <w:rFonts w:hint="eastAsia"/>
                <w:szCs w:val="21"/>
              </w:rPr>
              <w:t>法学</w:t>
            </w:r>
          </w:p>
        </w:tc>
        <w:tc>
          <w:tcPr>
            <w:tcW w:w="915" w:type="pct"/>
            <w:vMerge w:val="restart"/>
            <w:noWrap w:val="0"/>
            <w:vAlign w:val="center"/>
          </w:tcPr>
          <w:p>
            <w:pPr>
              <w:pStyle w:val="30"/>
              <w:widowControl w:val="0"/>
              <w:spacing w:line="240" w:lineRule="auto"/>
              <w:rPr>
                <w:rFonts w:hint="eastAsia"/>
                <w:szCs w:val="21"/>
              </w:rPr>
            </w:pPr>
            <w:r>
              <w:rPr>
                <w:rFonts w:hint="eastAsia"/>
                <w:szCs w:val="21"/>
              </w:rPr>
              <w:t>0303</w:t>
            </w:r>
          </w:p>
        </w:tc>
        <w:tc>
          <w:tcPr>
            <w:tcW w:w="997" w:type="pct"/>
            <w:vMerge w:val="restart"/>
            <w:noWrap w:val="0"/>
            <w:vAlign w:val="center"/>
          </w:tcPr>
          <w:p>
            <w:pPr>
              <w:pStyle w:val="30"/>
              <w:widowControl w:val="0"/>
              <w:spacing w:line="240" w:lineRule="auto"/>
              <w:rPr>
                <w:rFonts w:hint="eastAsia"/>
                <w:szCs w:val="21"/>
              </w:rPr>
            </w:pPr>
            <w:r>
              <w:rPr>
                <w:rFonts w:hint="eastAsia"/>
                <w:szCs w:val="21"/>
              </w:rPr>
              <w:t>社会学</w:t>
            </w:r>
          </w:p>
        </w:tc>
        <w:tc>
          <w:tcPr>
            <w:tcW w:w="1693" w:type="pct"/>
            <w:noWrap w:val="0"/>
            <w:vAlign w:val="center"/>
          </w:tcPr>
          <w:p>
            <w:pPr>
              <w:pStyle w:val="30"/>
              <w:widowControl w:val="0"/>
              <w:spacing w:line="240" w:lineRule="auto"/>
              <w:rPr>
                <w:rFonts w:hint="eastAsia"/>
                <w:szCs w:val="21"/>
              </w:rPr>
            </w:pPr>
            <w:r>
              <w:rPr>
                <w:rFonts w:hint="eastAsia"/>
                <w:szCs w:val="21"/>
              </w:rPr>
              <w:t>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6" w:type="pct"/>
            <w:vMerge w:val="continue"/>
            <w:noWrap w:val="0"/>
            <w:vAlign w:val="center"/>
          </w:tcPr>
          <w:p>
            <w:pPr>
              <w:pStyle w:val="30"/>
              <w:widowControl w:val="0"/>
              <w:spacing w:line="240" w:lineRule="auto"/>
              <w:rPr>
                <w:rFonts w:hint="eastAsia"/>
                <w:szCs w:val="21"/>
              </w:rPr>
            </w:pPr>
          </w:p>
        </w:tc>
        <w:tc>
          <w:tcPr>
            <w:tcW w:w="748" w:type="pct"/>
            <w:vMerge w:val="continue"/>
            <w:noWrap w:val="0"/>
            <w:vAlign w:val="center"/>
          </w:tcPr>
          <w:p>
            <w:pPr>
              <w:pStyle w:val="30"/>
              <w:widowControl w:val="0"/>
              <w:spacing w:line="240" w:lineRule="auto"/>
              <w:rPr>
                <w:rFonts w:hint="eastAsia"/>
                <w:szCs w:val="21"/>
              </w:rPr>
            </w:pPr>
          </w:p>
        </w:tc>
        <w:tc>
          <w:tcPr>
            <w:tcW w:w="915" w:type="pct"/>
            <w:vMerge w:val="continue"/>
            <w:noWrap w:val="0"/>
            <w:vAlign w:val="center"/>
          </w:tcPr>
          <w:p>
            <w:pPr>
              <w:pStyle w:val="30"/>
              <w:widowControl w:val="0"/>
              <w:spacing w:line="240" w:lineRule="auto"/>
              <w:rPr>
                <w:rFonts w:hint="eastAsia"/>
                <w:szCs w:val="21"/>
              </w:rPr>
            </w:pPr>
          </w:p>
        </w:tc>
        <w:tc>
          <w:tcPr>
            <w:tcW w:w="997" w:type="pct"/>
            <w:vMerge w:val="continue"/>
            <w:noWrap w:val="0"/>
            <w:vAlign w:val="center"/>
          </w:tcPr>
          <w:p>
            <w:pPr>
              <w:pStyle w:val="30"/>
              <w:widowControl w:val="0"/>
              <w:spacing w:line="240" w:lineRule="auto"/>
              <w:rPr>
                <w:rFonts w:hint="eastAsia"/>
                <w:szCs w:val="21"/>
              </w:rPr>
            </w:pPr>
          </w:p>
        </w:tc>
        <w:tc>
          <w:tcPr>
            <w:tcW w:w="1693" w:type="pct"/>
            <w:noWrap w:val="0"/>
            <w:vAlign w:val="center"/>
          </w:tcPr>
          <w:p>
            <w:pPr>
              <w:pStyle w:val="30"/>
              <w:widowControl w:val="0"/>
              <w:spacing w:line="240" w:lineRule="auto"/>
              <w:rPr>
                <w:rFonts w:hint="eastAsia"/>
                <w:szCs w:val="21"/>
              </w:rPr>
            </w:pPr>
            <w:r>
              <w:rPr>
                <w:rFonts w:hint="eastAsia"/>
                <w:szCs w:val="21"/>
              </w:rPr>
              <w:t>人口学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6" w:type="pct"/>
            <w:vMerge w:val="continue"/>
            <w:noWrap w:val="0"/>
            <w:vAlign w:val="center"/>
          </w:tcPr>
          <w:p>
            <w:pPr>
              <w:pStyle w:val="30"/>
              <w:widowControl w:val="0"/>
              <w:spacing w:line="240" w:lineRule="auto"/>
              <w:rPr>
                <w:rFonts w:hint="eastAsia"/>
                <w:szCs w:val="21"/>
              </w:rPr>
            </w:pPr>
          </w:p>
        </w:tc>
        <w:tc>
          <w:tcPr>
            <w:tcW w:w="748" w:type="pct"/>
            <w:vMerge w:val="continue"/>
            <w:noWrap w:val="0"/>
            <w:vAlign w:val="center"/>
          </w:tcPr>
          <w:p>
            <w:pPr>
              <w:pStyle w:val="30"/>
              <w:widowControl w:val="0"/>
              <w:spacing w:line="240" w:lineRule="auto"/>
              <w:rPr>
                <w:rFonts w:hint="eastAsia"/>
                <w:szCs w:val="21"/>
              </w:rPr>
            </w:pPr>
          </w:p>
        </w:tc>
        <w:tc>
          <w:tcPr>
            <w:tcW w:w="915" w:type="pct"/>
            <w:vMerge w:val="continue"/>
            <w:noWrap w:val="0"/>
            <w:vAlign w:val="center"/>
          </w:tcPr>
          <w:p>
            <w:pPr>
              <w:pStyle w:val="30"/>
              <w:widowControl w:val="0"/>
              <w:spacing w:line="240" w:lineRule="auto"/>
              <w:rPr>
                <w:rFonts w:hint="eastAsia"/>
                <w:szCs w:val="21"/>
              </w:rPr>
            </w:pPr>
          </w:p>
        </w:tc>
        <w:tc>
          <w:tcPr>
            <w:tcW w:w="997" w:type="pct"/>
            <w:vMerge w:val="continue"/>
            <w:noWrap w:val="0"/>
            <w:vAlign w:val="center"/>
          </w:tcPr>
          <w:p>
            <w:pPr>
              <w:pStyle w:val="30"/>
              <w:widowControl w:val="0"/>
              <w:spacing w:line="240" w:lineRule="auto"/>
              <w:rPr>
                <w:rFonts w:hint="eastAsia"/>
                <w:szCs w:val="21"/>
              </w:rPr>
            </w:pPr>
          </w:p>
        </w:tc>
        <w:tc>
          <w:tcPr>
            <w:tcW w:w="1693" w:type="pct"/>
            <w:noWrap w:val="0"/>
            <w:vAlign w:val="center"/>
          </w:tcPr>
          <w:p>
            <w:pPr>
              <w:pStyle w:val="30"/>
              <w:widowControl w:val="0"/>
              <w:spacing w:line="240" w:lineRule="auto"/>
              <w:rPr>
                <w:rFonts w:hint="eastAsia"/>
                <w:szCs w:val="21"/>
              </w:rPr>
            </w:pPr>
            <w:r>
              <w:rPr>
                <w:rFonts w:hint="eastAsia"/>
                <w:szCs w:val="21"/>
              </w:rPr>
              <w:t>民俗学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6" w:type="pct"/>
            <w:vMerge w:val="restart"/>
            <w:noWrap w:val="0"/>
            <w:vAlign w:val="center"/>
          </w:tcPr>
          <w:p>
            <w:pPr>
              <w:pStyle w:val="30"/>
              <w:widowControl w:val="0"/>
              <w:spacing w:line="240" w:lineRule="auto"/>
              <w:rPr>
                <w:rFonts w:hint="eastAsia"/>
                <w:szCs w:val="21"/>
              </w:rPr>
            </w:pPr>
            <w:r>
              <w:rPr>
                <w:rFonts w:hint="eastAsia"/>
                <w:szCs w:val="21"/>
              </w:rPr>
              <w:t>06</w:t>
            </w:r>
          </w:p>
        </w:tc>
        <w:tc>
          <w:tcPr>
            <w:tcW w:w="748" w:type="pct"/>
            <w:vMerge w:val="restart"/>
            <w:noWrap w:val="0"/>
            <w:vAlign w:val="center"/>
          </w:tcPr>
          <w:p>
            <w:pPr>
              <w:pStyle w:val="30"/>
              <w:widowControl w:val="0"/>
              <w:spacing w:line="240" w:lineRule="auto"/>
              <w:rPr>
                <w:rFonts w:hint="eastAsia"/>
                <w:szCs w:val="21"/>
              </w:rPr>
            </w:pPr>
            <w:r>
              <w:rPr>
                <w:rFonts w:hint="eastAsia"/>
                <w:szCs w:val="21"/>
              </w:rPr>
              <w:t>历史学</w:t>
            </w:r>
          </w:p>
        </w:tc>
        <w:tc>
          <w:tcPr>
            <w:tcW w:w="915" w:type="pct"/>
            <w:vMerge w:val="restart"/>
            <w:noWrap w:val="0"/>
            <w:vAlign w:val="center"/>
          </w:tcPr>
          <w:p>
            <w:pPr>
              <w:pStyle w:val="30"/>
              <w:widowControl w:val="0"/>
              <w:spacing w:line="240" w:lineRule="auto"/>
              <w:rPr>
                <w:rFonts w:hint="eastAsia"/>
                <w:szCs w:val="21"/>
              </w:rPr>
            </w:pPr>
            <w:r>
              <w:rPr>
                <w:rFonts w:hint="eastAsia"/>
                <w:szCs w:val="21"/>
              </w:rPr>
              <w:t>0602</w:t>
            </w:r>
          </w:p>
        </w:tc>
        <w:tc>
          <w:tcPr>
            <w:tcW w:w="997" w:type="pct"/>
            <w:vMerge w:val="restart"/>
            <w:noWrap w:val="0"/>
            <w:vAlign w:val="center"/>
          </w:tcPr>
          <w:p>
            <w:pPr>
              <w:pStyle w:val="30"/>
              <w:widowControl w:val="0"/>
              <w:spacing w:line="240" w:lineRule="auto"/>
              <w:rPr>
                <w:rFonts w:hint="eastAsia"/>
                <w:szCs w:val="21"/>
              </w:rPr>
            </w:pPr>
            <w:r>
              <w:rPr>
                <w:rFonts w:hint="eastAsia"/>
                <w:szCs w:val="21"/>
              </w:rPr>
              <w:t>中国史</w:t>
            </w:r>
          </w:p>
        </w:tc>
        <w:tc>
          <w:tcPr>
            <w:tcW w:w="1693" w:type="pct"/>
            <w:noWrap w:val="0"/>
            <w:vAlign w:val="center"/>
          </w:tcPr>
          <w:p>
            <w:pPr>
              <w:pStyle w:val="30"/>
              <w:widowControl w:val="0"/>
              <w:spacing w:line="240" w:lineRule="auto"/>
              <w:rPr>
                <w:rFonts w:hint="eastAsia"/>
                <w:szCs w:val="21"/>
              </w:rPr>
            </w:pPr>
            <w:r>
              <w:rPr>
                <w:rFonts w:hint="eastAsia"/>
                <w:szCs w:val="21"/>
              </w:rPr>
              <w:t>中国古代史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6" w:type="pct"/>
            <w:vMerge w:val="continue"/>
            <w:noWrap w:val="0"/>
            <w:vAlign w:val="top"/>
          </w:tcPr>
          <w:p>
            <w:pPr>
              <w:pStyle w:val="30"/>
              <w:widowControl w:val="0"/>
              <w:spacing w:line="240" w:lineRule="auto"/>
              <w:rPr>
                <w:rFonts w:hint="eastAsia"/>
                <w:szCs w:val="21"/>
              </w:rPr>
            </w:pPr>
          </w:p>
        </w:tc>
        <w:tc>
          <w:tcPr>
            <w:tcW w:w="748" w:type="pct"/>
            <w:vMerge w:val="continue"/>
            <w:noWrap w:val="0"/>
            <w:vAlign w:val="top"/>
          </w:tcPr>
          <w:p>
            <w:pPr>
              <w:pStyle w:val="30"/>
              <w:widowControl w:val="0"/>
              <w:spacing w:line="240" w:lineRule="auto"/>
              <w:rPr>
                <w:rFonts w:hint="eastAsia"/>
                <w:szCs w:val="21"/>
              </w:rPr>
            </w:pPr>
          </w:p>
        </w:tc>
        <w:tc>
          <w:tcPr>
            <w:tcW w:w="915" w:type="pct"/>
            <w:vMerge w:val="continue"/>
            <w:noWrap w:val="0"/>
            <w:vAlign w:val="top"/>
          </w:tcPr>
          <w:p>
            <w:pPr>
              <w:pStyle w:val="30"/>
              <w:widowControl w:val="0"/>
              <w:spacing w:line="240" w:lineRule="auto"/>
              <w:rPr>
                <w:rFonts w:hint="eastAsia"/>
                <w:szCs w:val="21"/>
              </w:rPr>
            </w:pPr>
          </w:p>
        </w:tc>
        <w:tc>
          <w:tcPr>
            <w:tcW w:w="997" w:type="pct"/>
            <w:vMerge w:val="continue"/>
            <w:noWrap w:val="0"/>
            <w:vAlign w:val="center"/>
          </w:tcPr>
          <w:p>
            <w:pPr>
              <w:pStyle w:val="30"/>
              <w:widowControl w:val="0"/>
              <w:spacing w:line="240" w:lineRule="auto"/>
              <w:rPr>
                <w:rFonts w:hint="eastAsia"/>
                <w:szCs w:val="21"/>
              </w:rPr>
            </w:pPr>
          </w:p>
        </w:tc>
        <w:tc>
          <w:tcPr>
            <w:tcW w:w="1693" w:type="pct"/>
            <w:noWrap w:val="0"/>
            <w:vAlign w:val="center"/>
          </w:tcPr>
          <w:p>
            <w:pPr>
              <w:pStyle w:val="30"/>
              <w:widowControl w:val="0"/>
              <w:spacing w:line="240" w:lineRule="auto"/>
              <w:rPr>
                <w:rFonts w:hint="eastAsia"/>
                <w:szCs w:val="21"/>
              </w:rPr>
            </w:pPr>
            <w:r>
              <w:rPr>
                <w:rFonts w:hint="eastAsia"/>
                <w:szCs w:val="21"/>
              </w:rPr>
              <w:t>中国近现代史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6" w:type="pct"/>
            <w:vMerge w:val="continue"/>
            <w:noWrap w:val="0"/>
            <w:vAlign w:val="top"/>
          </w:tcPr>
          <w:p>
            <w:pPr>
              <w:pStyle w:val="30"/>
              <w:widowControl w:val="0"/>
              <w:spacing w:line="240" w:lineRule="auto"/>
              <w:rPr>
                <w:rFonts w:hint="eastAsia"/>
                <w:szCs w:val="21"/>
              </w:rPr>
            </w:pPr>
          </w:p>
        </w:tc>
        <w:tc>
          <w:tcPr>
            <w:tcW w:w="748" w:type="pct"/>
            <w:vMerge w:val="continue"/>
            <w:noWrap w:val="0"/>
            <w:vAlign w:val="top"/>
          </w:tcPr>
          <w:p>
            <w:pPr>
              <w:pStyle w:val="30"/>
              <w:widowControl w:val="0"/>
              <w:spacing w:line="240" w:lineRule="auto"/>
              <w:rPr>
                <w:rFonts w:hint="eastAsia"/>
                <w:szCs w:val="21"/>
              </w:rPr>
            </w:pPr>
          </w:p>
        </w:tc>
        <w:tc>
          <w:tcPr>
            <w:tcW w:w="915" w:type="pct"/>
            <w:vMerge w:val="continue"/>
            <w:noWrap w:val="0"/>
            <w:vAlign w:val="top"/>
          </w:tcPr>
          <w:p>
            <w:pPr>
              <w:pStyle w:val="30"/>
              <w:widowControl w:val="0"/>
              <w:spacing w:line="240" w:lineRule="auto"/>
              <w:rPr>
                <w:rFonts w:hint="eastAsia"/>
                <w:szCs w:val="21"/>
              </w:rPr>
            </w:pPr>
          </w:p>
        </w:tc>
        <w:tc>
          <w:tcPr>
            <w:tcW w:w="997" w:type="pct"/>
            <w:vMerge w:val="continue"/>
            <w:noWrap w:val="0"/>
            <w:vAlign w:val="center"/>
          </w:tcPr>
          <w:p>
            <w:pPr>
              <w:pStyle w:val="30"/>
              <w:widowControl w:val="0"/>
              <w:spacing w:line="240" w:lineRule="auto"/>
              <w:rPr>
                <w:rFonts w:hint="eastAsia"/>
                <w:szCs w:val="21"/>
              </w:rPr>
            </w:pPr>
          </w:p>
        </w:tc>
        <w:tc>
          <w:tcPr>
            <w:tcW w:w="1693" w:type="pct"/>
            <w:noWrap w:val="0"/>
            <w:vAlign w:val="center"/>
          </w:tcPr>
          <w:p>
            <w:pPr>
              <w:pStyle w:val="30"/>
              <w:widowControl w:val="0"/>
              <w:spacing w:line="240" w:lineRule="auto"/>
              <w:rPr>
                <w:rFonts w:hint="eastAsia"/>
                <w:szCs w:val="21"/>
              </w:rPr>
            </w:pPr>
            <w:r>
              <w:rPr>
                <w:rFonts w:hint="eastAsia"/>
                <w:szCs w:val="21"/>
              </w:rPr>
              <w:t>专门史</w:t>
            </w:r>
          </w:p>
        </w:tc>
      </w:tr>
    </w:tbl>
    <w:p>
      <w:pPr>
        <w:spacing w:line="240" w:lineRule="auto"/>
        <w:ind w:firstLine="480"/>
        <w:rPr>
          <w:rFonts w:hint="eastAsia"/>
        </w:rPr>
      </w:pPr>
      <w:bookmarkStart w:id="26" w:name="_Toc67497711"/>
      <w:bookmarkStart w:id="27" w:name="_Toc67497674"/>
    </w:p>
    <w:p>
      <w:pPr>
        <w:ind w:firstLine="480"/>
        <w:rPr>
          <w:rFonts w:hint="eastAsia"/>
        </w:rPr>
      </w:pPr>
      <w:r>
        <w:rPr>
          <w:rFonts w:hint="eastAsia"/>
          <w:highlight w:val="none"/>
        </w:rPr>
        <w:t>理论经济学：</w:t>
      </w:r>
      <w:r>
        <w:rPr>
          <w:rFonts w:hint="eastAsia"/>
        </w:rPr>
        <w:t>2018年，我院</w:t>
      </w:r>
      <w:r>
        <w:rPr>
          <w:rFonts w:hint="eastAsia"/>
          <w:lang w:eastAsia="zh-CN"/>
        </w:rPr>
        <w:t>政治经济学二级学科硕士学位授权点增列为</w:t>
      </w:r>
      <w:r>
        <w:rPr>
          <w:rFonts w:hint="eastAsia"/>
        </w:rPr>
        <w:t>理论经济学一级学科硕士学位授权</w:t>
      </w:r>
      <w:r>
        <w:rPr>
          <w:rFonts w:hint="eastAsia"/>
          <w:lang w:eastAsia="zh-CN"/>
        </w:rPr>
        <w:t>点</w:t>
      </w:r>
      <w:r>
        <w:rPr>
          <w:rFonts w:hint="eastAsia"/>
        </w:rPr>
        <w:t>，下设政治经济学</w:t>
      </w:r>
      <w:r>
        <w:rPr>
          <w:rFonts w:hint="eastAsia"/>
          <w:lang w:eastAsia="zh-CN"/>
        </w:rPr>
        <w:t>、</w:t>
      </w:r>
      <w:r>
        <w:rPr>
          <w:rFonts w:hint="eastAsia"/>
        </w:rPr>
        <w:t>西方经济学和人口</w:t>
      </w:r>
      <w:r>
        <w:rPr>
          <w:rFonts w:hint="eastAsia"/>
          <w:lang w:eastAsia="zh-CN"/>
        </w:rPr>
        <w:t>、</w:t>
      </w:r>
      <w:r>
        <w:rPr>
          <w:rFonts w:hint="eastAsia"/>
        </w:rPr>
        <w:t>资源与环境经济学3个二级学科。理论经济学原学科带头人卓炯同志是我国社会主义市场经济理论的奠基人之一，曾牧野同志的经济特区理论研究在全国产生了深远影响。经过多年发展，理论经济学</w:t>
      </w:r>
      <w:r>
        <w:rPr>
          <w:rFonts w:hint="eastAsia"/>
          <w:lang w:eastAsia="zh-CN"/>
        </w:rPr>
        <w:t>已具备一定的学科基础和竞争优势，</w:t>
      </w:r>
      <w:r>
        <w:rPr>
          <w:rFonts w:hint="eastAsia"/>
        </w:rPr>
        <w:t>逐渐取得显著学科优势与竞争力。本学科产出的社科基金项目与期刊论文、专著等学术成果以及决策咨询报告等应用研究成果，获得省委、省政府和社会各界的广泛认可。</w:t>
      </w:r>
    </w:p>
    <w:p>
      <w:pPr>
        <w:ind w:firstLine="480"/>
        <w:rPr>
          <w:rFonts w:hint="eastAsia"/>
        </w:rPr>
      </w:pPr>
      <w:r>
        <w:rPr>
          <w:rFonts w:hint="eastAsia"/>
          <w:highlight w:val="none"/>
        </w:rPr>
        <w:t>应用经济学：</w:t>
      </w:r>
      <w:r>
        <w:rPr>
          <w:rFonts w:hint="eastAsia"/>
        </w:rPr>
        <w:t>1999年，我院获批产业经济学二级学科硕士学位授权点，是广东省较早拥有产业经济学学科的研究生培养单位。2011年，获批设立应用经济学一级学科硕士学位授权点，下设区域经济学、产业经济学、金融学和国际贸易学4个二级学科。经过多年建设，应用经济学打造了一支能对重大理论问题进行深层次研究、对重大现实问题开展快速决策应用研究的高素质团队，产出了一系列具有较高学术影响力、社会影响力、政策影响力的研究成果，得到</w:t>
      </w:r>
      <w:r>
        <w:rPr>
          <w:rFonts w:hint="eastAsia"/>
          <w:lang w:val="en-US" w:eastAsia="zh-CN"/>
        </w:rPr>
        <w:t>广东</w:t>
      </w:r>
      <w:r>
        <w:rPr>
          <w:rFonts w:hint="eastAsia"/>
        </w:rPr>
        <w:t>省委</w:t>
      </w:r>
      <w:r>
        <w:rPr>
          <w:rFonts w:hint="eastAsia"/>
          <w:lang w:eastAsia="zh-CN"/>
        </w:rPr>
        <w:t>、</w:t>
      </w:r>
      <w:r>
        <w:rPr>
          <w:rFonts w:hint="eastAsia"/>
        </w:rPr>
        <w:t>省政府和社会各界的认可，培养了一批德才兼备、学养深厚、广受欢迎的复合型人才。</w:t>
      </w:r>
    </w:p>
    <w:p>
      <w:pPr>
        <w:ind w:firstLine="480"/>
        <w:rPr>
          <w:rFonts w:ascii="Times New Roman" w:hAnsi="Times New Roman" w:eastAsia="宋体" w:cs="Times New Roman"/>
        </w:rPr>
      </w:pPr>
      <w:r>
        <w:rPr>
          <w:rFonts w:hint="eastAsia"/>
          <w:highlight w:val="none"/>
        </w:rPr>
        <w:t>社会学：</w:t>
      </w:r>
      <w:r>
        <w:rPr>
          <w:rFonts w:hint="eastAsia" w:ascii="Times New Roman" w:hAnsi="Times New Roman" w:eastAsia="宋体" w:cs="Times New Roman"/>
        </w:rPr>
        <w:t>2003年，我院获批人口学二级学科硕士学位授权点，2005年正式招生。2011年获批社会学一级学科硕士学位授权点，包括社会学、人口学、民俗学3个二级学科。本学位授权点以</w:t>
      </w:r>
      <w:bookmarkStart w:id="28" w:name="_Hlk518596632"/>
      <w:r>
        <w:rPr>
          <w:rFonts w:hint="eastAsia" w:ascii="Times New Roman" w:hAnsi="Times New Roman" w:eastAsia="宋体" w:cs="Times New Roman"/>
        </w:rPr>
        <w:t>“打造注重经世致用的社会学一级学科华南重镇”</w:t>
      </w:r>
      <w:bookmarkEnd w:id="28"/>
      <w:r>
        <w:rPr>
          <w:rFonts w:hint="eastAsia" w:ascii="Times New Roman" w:hAnsi="Times New Roman" w:eastAsia="宋体" w:cs="Times New Roman"/>
        </w:rPr>
        <w:t>为目标，从广东经济社会发展的实际出发，以社会需求为导向，开展理论与实践相结合的科学研究，坚持“立足广东社会，理论实践结合，注重应用研究”。通过社会学、人口学和民俗学三大科研创新团队，</w:t>
      </w:r>
      <w:r>
        <w:rPr>
          <w:rFonts w:hint="eastAsia" w:ascii="Times New Roman" w:hAnsi="Times New Roman" w:eastAsia="宋体" w:cs="Times New Roman"/>
          <w:highlight w:val="none"/>
        </w:rPr>
        <w:t>瞄准基层实践开展</w:t>
      </w:r>
      <w:r>
        <w:rPr>
          <w:rFonts w:hint="eastAsia" w:ascii="Times New Roman" w:hAnsi="Times New Roman" w:eastAsia="宋体" w:cs="Times New Roman"/>
        </w:rPr>
        <w:t>扎实社会调查，产出了众多具有较高学术影响的理论成果，</w:t>
      </w:r>
      <w:r>
        <w:rPr>
          <w:rFonts w:hint="eastAsia" w:ascii="Times New Roman" w:hAnsi="Times New Roman" w:eastAsia="宋体" w:cs="Times New Roman"/>
          <w:highlight w:val="none"/>
        </w:rPr>
        <w:t>政策咨询服务获得广泛好评，</w:t>
      </w:r>
      <w:r>
        <w:rPr>
          <w:rFonts w:hint="eastAsia" w:ascii="Times New Roman" w:hAnsi="Times New Roman" w:eastAsia="宋体" w:cs="Times New Roman"/>
        </w:rPr>
        <w:t>多项专报和调研报告获得省委省政府领导的肯定性批示，发挥了重要智库作用。</w:t>
      </w:r>
    </w:p>
    <w:p>
      <w:pPr>
        <w:ind w:firstLine="480"/>
        <w:rPr>
          <w:rFonts w:hint="eastAsia"/>
        </w:rPr>
      </w:pPr>
      <w:r>
        <w:rPr>
          <w:rFonts w:hint="eastAsia"/>
          <w:highlight w:val="none"/>
        </w:rPr>
        <w:t>中国史：</w:t>
      </w:r>
      <w:r>
        <w:rPr>
          <w:rFonts w:hint="eastAsia"/>
        </w:rPr>
        <w:t>1992年，我院获批中国近现代史二级学科硕士学位授予</w:t>
      </w:r>
      <w:r>
        <w:rPr>
          <w:rFonts w:hint="eastAsia"/>
          <w:lang w:eastAsia="zh-CN"/>
        </w:rPr>
        <w:t>点</w:t>
      </w:r>
      <w:r>
        <w:rPr>
          <w:rFonts w:hint="eastAsia"/>
        </w:rPr>
        <w:t>。2011年，审核增列为中国史一级学科硕士学位授权</w:t>
      </w:r>
      <w:r>
        <w:rPr>
          <w:rFonts w:hint="eastAsia"/>
          <w:lang w:eastAsia="zh-CN"/>
        </w:rPr>
        <w:t>点</w:t>
      </w:r>
      <w:r>
        <w:rPr>
          <w:rFonts w:hint="eastAsia"/>
        </w:rPr>
        <w:t>，下设中国古代史、中国近现代史和专门史3个二级学科。该学科是我院优长和重点学科，学术积淀深厚，有一批知名学者和研究成果，在国内外学术界享有盛誉，与海内外学术交流广泛、密切。</w:t>
      </w:r>
      <w:r>
        <w:rPr>
          <w:rFonts w:hint="eastAsia"/>
          <w:lang w:val="en-US" w:eastAsia="zh-CN"/>
        </w:rPr>
        <w:t>本学位点坚持落实立德树人根本任务，建强关键培养要素，提升导师队伍水平，完善质量保障体系，经过30多年的教学探索和实践积累，已形成学术积淀深厚、科研成果突出、图书资料丰富等培养特色和较完善的培养机制，培养出一批觉悟高、素质好、专业精的高层次人才。</w:t>
      </w:r>
    </w:p>
    <w:p>
      <w:pPr>
        <w:pStyle w:val="4"/>
        <w:keepNext w:val="0"/>
        <w:keepLines w:val="0"/>
        <w:widowControl w:val="0"/>
        <w:ind w:firstLine="602" w:firstLineChars="200"/>
        <w:rPr>
          <w:rFonts w:hint="eastAsia"/>
        </w:rPr>
      </w:pPr>
      <w:bookmarkStart w:id="29" w:name="_Toc4215"/>
      <w:bookmarkStart w:id="30" w:name="_Toc8537"/>
      <w:bookmarkStart w:id="31" w:name="_Toc127791863"/>
      <w:bookmarkStart w:id="32" w:name="_Toc17098"/>
      <w:bookmarkStart w:id="33" w:name="_Toc4232"/>
      <w:r>
        <w:rPr>
          <w:rFonts w:hint="eastAsia"/>
        </w:rPr>
        <w:t>（二）学科建设情况</w:t>
      </w:r>
      <w:bookmarkEnd w:id="29"/>
      <w:bookmarkEnd w:id="30"/>
      <w:bookmarkEnd w:id="31"/>
      <w:bookmarkEnd w:id="32"/>
      <w:bookmarkEnd w:id="33"/>
    </w:p>
    <w:p>
      <w:pPr>
        <w:ind w:firstLine="480"/>
        <w:rPr>
          <w:rFonts w:hint="eastAsia"/>
        </w:rPr>
      </w:pPr>
      <w:r>
        <w:rPr>
          <w:rFonts w:hint="eastAsia"/>
        </w:rPr>
        <w:t>学科建设是我院研究生教育的基石</w:t>
      </w:r>
      <w:r>
        <w:rPr>
          <w:rFonts w:hint="eastAsia"/>
          <w:lang w:eastAsia="zh-CN"/>
        </w:rPr>
        <w:t>，</w:t>
      </w:r>
      <w:r>
        <w:rPr>
          <w:rFonts w:hint="eastAsia"/>
        </w:rPr>
        <w:t>学科建设水平体现我院的核心竞争力和综合办学实力。202</w:t>
      </w:r>
      <w:r>
        <w:rPr>
          <w:rFonts w:hint="eastAsia"/>
          <w:lang w:val="en-US" w:eastAsia="zh-CN"/>
        </w:rPr>
        <w:t>3</w:t>
      </w:r>
      <w:r>
        <w:rPr>
          <w:rFonts w:hint="eastAsia"/>
        </w:rPr>
        <w:t>年，我院学科建设继续坚持服务需求、质量优先的基本原则，切实推进研究生教育质量稳步提升。</w:t>
      </w:r>
    </w:p>
    <w:p>
      <w:pPr>
        <w:ind w:firstLine="480"/>
        <w:rPr>
          <w:rFonts w:hint="eastAsia"/>
        </w:rPr>
      </w:pPr>
      <w:r>
        <w:rPr>
          <w:rFonts w:hint="eastAsia"/>
        </w:rPr>
        <w:t>一是依托院</w:t>
      </w:r>
      <w:r>
        <w:rPr>
          <w:rFonts w:hint="eastAsia"/>
          <w:lang w:eastAsia="zh-CN"/>
        </w:rPr>
        <w:t>“</w:t>
      </w:r>
      <w:r>
        <w:rPr>
          <w:rFonts w:hint="eastAsia"/>
          <w:lang w:val="en-US" w:eastAsia="zh-CN"/>
        </w:rPr>
        <w:t>十四五</w:t>
      </w:r>
      <w:r>
        <w:rPr>
          <w:rFonts w:hint="eastAsia"/>
          <w:lang w:eastAsia="zh-CN"/>
        </w:rPr>
        <w:t>”</w:t>
      </w:r>
      <w:r>
        <w:rPr>
          <w:rFonts w:hint="eastAsia"/>
        </w:rPr>
        <w:t>规划优化研究生教育。</w:t>
      </w:r>
      <w:r>
        <w:rPr>
          <w:rFonts w:hint="eastAsia"/>
          <w:lang w:val="en-US" w:eastAsia="zh-CN"/>
        </w:rPr>
        <w:t>2023年，我院全面贯彻落实《</w:t>
      </w:r>
      <w:r>
        <w:t>广东省社会科学院科研事业发展</w:t>
      </w:r>
      <w:r>
        <w:rPr>
          <w:rFonts w:hint="eastAsia"/>
          <w:lang w:eastAsia="zh-CN"/>
        </w:rPr>
        <w:t>“</w:t>
      </w:r>
      <w:r>
        <w:t>十四五</w:t>
      </w:r>
      <w:r>
        <w:rPr>
          <w:rFonts w:hint="eastAsia"/>
          <w:lang w:eastAsia="zh-CN"/>
        </w:rPr>
        <w:t>”</w:t>
      </w:r>
      <w:r>
        <w:t>规划</w:t>
      </w:r>
      <w:r>
        <w:rPr>
          <w:rFonts w:hint="eastAsia"/>
          <w:lang w:val="en-US" w:eastAsia="zh-CN"/>
        </w:rPr>
        <w:t>》（以下简称“《规划》”）中关于提升研究生教育质量的各项要求，统筹推进研究生教育创新工程，积极开展“灯塔”工程、学科学位点拓展计划、研究生精品课程计划、研究生科研创新能力提升计划、研究生教育质量保障计划，提高研究生教学质量，推进学科学位点建设，提升导师队伍水平，完善研究生培养机制</w:t>
      </w:r>
      <w:r>
        <w:t>，</w:t>
      </w:r>
      <w:r>
        <w:rPr>
          <w:rFonts w:hint="eastAsia"/>
          <w:lang w:val="en-US" w:eastAsia="zh-CN"/>
        </w:rPr>
        <w:t>探索研究生教育高质量发展的地方社科院追赶范例。</w:t>
      </w:r>
    </w:p>
    <w:p>
      <w:pPr>
        <w:ind w:firstLine="480"/>
        <w:rPr>
          <w:rFonts w:hint="eastAsia"/>
        </w:rPr>
      </w:pPr>
      <w:r>
        <w:rPr>
          <w:rFonts w:hint="eastAsia"/>
        </w:rPr>
        <w:t>二是持续推进导师科研水平提升。一方面，基础科学研究</w:t>
      </w:r>
      <w:r>
        <w:rPr>
          <w:rFonts w:hint="eastAsia"/>
          <w:lang w:val="en-US" w:eastAsia="zh-CN"/>
        </w:rPr>
        <w:t>能力逐步增强</w:t>
      </w:r>
      <w:r>
        <w:rPr>
          <w:rFonts w:hint="eastAsia"/>
        </w:rPr>
        <w:t>。</w:t>
      </w:r>
      <w:r>
        <w:rPr>
          <w:rFonts w:hint="eastAsia"/>
          <w:highlight w:val="none"/>
        </w:rPr>
        <w:t>202</w:t>
      </w:r>
      <w:r>
        <w:rPr>
          <w:rFonts w:hint="eastAsia"/>
          <w:highlight w:val="none"/>
          <w:lang w:eastAsia="zh-CN"/>
        </w:rPr>
        <w:t>3</w:t>
      </w:r>
      <w:r>
        <w:rPr>
          <w:rFonts w:hint="eastAsia"/>
          <w:highlight w:val="none"/>
        </w:rPr>
        <w:t>年，共计出版学术专著</w:t>
      </w:r>
      <w:r>
        <w:rPr>
          <w:rFonts w:hint="eastAsia"/>
          <w:highlight w:val="none"/>
          <w:lang w:eastAsia="zh-CN"/>
        </w:rPr>
        <w:t>1</w:t>
      </w:r>
      <w:r>
        <w:rPr>
          <w:rFonts w:hint="eastAsia"/>
          <w:highlight w:val="none"/>
          <w:lang w:val="en-US" w:eastAsia="zh-CN"/>
        </w:rPr>
        <w:t>6</w:t>
      </w:r>
      <w:r>
        <w:rPr>
          <w:rFonts w:hint="eastAsia"/>
          <w:highlight w:val="none"/>
        </w:rPr>
        <w:t>部</w:t>
      </w:r>
      <w:r>
        <w:rPr>
          <w:rFonts w:hint="eastAsia"/>
          <w:highlight w:val="none"/>
          <w:lang w:eastAsia="zh-CN"/>
        </w:rPr>
        <w:t>，</w:t>
      </w:r>
      <w:r>
        <w:rPr>
          <w:rFonts w:hint="eastAsia"/>
          <w:highlight w:val="none"/>
        </w:rPr>
        <w:t>编撰蓝皮书</w:t>
      </w:r>
      <w:r>
        <w:rPr>
          <w:rFonts w:hint="eastAsia"/>
          <w:highlight w:val="none"/>
          <w:lang w:val="en-US" w:eastAsia="zh-CN"/>
        </w:rPr>
        <w:t>3</w:t>
      </w:r>
      <w:r>
        <w:rPr>
          <w:rFonts w:hint="eastAsia"/>
          <w:highlight w:val="none"/>
        </w:rPr>
        <w:t>本；发表学术论文</w:t>
      </w:r>
      <w:r>
        <w:rPr>
          <w:rFonts w:hint="eastAsia"/>
          <w:highlight w:val="none"/>
          <w:lang w:val="en-US" w:eastAsia="zh-CN"/>
        </w:rPr>
        <w:t>82</w:t>
      </w:r>
      <w:r>
        <w:rPr>
          <w:rFonts w:hint="eastAsia"/>
          <w:highlight w:val="none"/>
        </w:rPr>
        <w:t>篇，其中核心期刊论文</w:t>
      </w:r>
      <w:r>
        <w:rPr>
          <w:rFonts w:hint="eastAsia"/>
          <w:highlight w:val="none"/>
          <w:lang w:val="en-US" w:eastAsia="zh-CN"/>
        </w:rPr>
        <w:t>40</w:t>
      </w:r>
      <w:r>
        <w:rPr>
          <w:rFonts w:hint="eastAsia"/>
          <w:highlight w:val="none"/>
        </w:rPr>
        <w:t>篇，被《新华文摘》《人大复印报刊资料》转载多篇；</w:t>
      </w:r>
      <w:r>
        <w:rPr>
          <w:rFonts w:hint="eastAsia"/>
          <w:highlight w:val="none"/>
          <w:lang w:val="en-US" w:eastAsia="zh-CN"/>
        </w:rPr>
        <w:t>在研</w:t>
      </w:r>
      <w:r>
        <w:rPr>
          <w:rFonts w:hint="eastAsia"/>
          <w:highlight w:val="none"/>
        </w:rPr>
        <w:t>国家、省、市社科规划和自科规划</w:t>
      </w:r>
      <w:r>
        <w:rPr>
          <w:rFonts w:hint="eastAsia"/>
          <w:highlight w:val="none"/>
          <w:lang w:val="en-US" w:eastAsia="zh-CN"/>
        </w:rPr>
        <w:t>等</w:t>
      </w:r>
      <w:r>
        <w:rPr>
          <w:rFonts w:hint="eastAsia"/>
          <w:highlight w:val="none"/>
        </w:rPr>
        <w:t>项目共计</w:t>
      </w:r>
      <w:r>
        <w:rPr>
          <w:rFonts w:hint="eastAsia"/>
          <w:highlight w:val="none"/>
          <w:lang w:val="en-US" w:eastAsia="zh-CN"/>
        </w:rPr>
        <w:t>53</w:t>
      </w:r>
      <w:r>
        <w:rPr>
          <w:rFonts w:hint="eastAsia"/>
          <w:highlight w:val="none"/>
        </w:rPr>
        <w:t>项</w:t>
      </w:r>
      <w:r>
        <w:rPr>
          <w:rFonts w:hint="eastAsia"/>
          <w:highlight w:val="none"/>
          <w:lang w:eastAsia="zh-CN"/>
        </w:rPr>
        <w:t>，</w:t>
      </w:r>
      <w:r>
        <w:rPr>
          <w:rFonts w:hint="eastAsia"/>
          <w:highlight w:val="none"/>
          <w:lang w:val="en-US" w:eastAsia="zh-CN"/>
        </w:rPr>
        <w:t>新申获</w:t>
      </w:r>
      <w:r>
        <w:rPr>
          <w:rFonts w:hint="eastAsia"/>
          <w:highlight w:val="none"/>
          <w:lang w:eastAsia="zh-CN"/>
        </w:rPr>
        <w:t>项目级别及数量较上年均有所突破</w:t>
      </w:r>
      <w:r>
        <w:rPr>
          <w:rFonts w:hint="eastAsia"/>
          <w:highlight w:val="none"/>
        </w:rPr>
        <w:t>。另一方面，应用决策研究水平持续</w:t>
      </w:r>
      <w:r>
        <w:rPr>
          <w:rFonts w:hint="eastAsia"/>
          <w:highlight w:val="none"/>
          <w:lang w:val="en-US" w:eastAsia="zh-CN"/>
        </w:rPr>
        <w:t>巩固</w:t>
      </w:r>
      <w:r>
        <w:rPr>
          <w:rFonts w:hint="eastAsia"/>
          <w:highlight w:val="none"/>
        </w:rPr>
        <w:t>。202</w:t>
      </w:r>
      <w:r>
        <w:rPr>
          <w:rFonts w:hint="eastAsia"/>
          <w:highlight w:val="none"/>
          <w:lang w:eastAsia="zh-CN"/>
        </w:rPr>
        <w:t>3</w:t>
      </w:r>
      <w:r>
        <w:rPr>
          <w:rFonts w:hint="eastAsia"/>
          <w:highlight w:val="none"/>
        </w:rPr>
        <w:t>年，向省委省政府报送《广东省社会科学院专报》</w:t>
      </w:r>
      <w:r>
        <w:rPr>
          <w:rFonts w:hint="eastAsia"/>
          <w:highlight w:val="none"/>
          <w:lang w:val="en-US" w:eastAsia="zh-CN"/>
        </w:rPr>
        <w:t>8</w:t>
      </w:r>
      <w:r>
        <w:rPr>
          <w:rFonts w:hint="eastAsia"/>
          <w:highlight w:val="none"/>
        </w:rPr>
        <w:t>期、《南方智库专报》6期，</w:t>
      </w:r>
      <w:r>
        <w:rPr>
          <w:rFonts w:hint="eastAsia"/>
          <w:highlight w:val="none"/>
          <w:lang w:eastAsia="zh-CN"/>
        </w:rPr>
        <w:t>1</w:t>
      </w:r>
      <w:r>
        <w:rPr>
          <w:rFonts w:hint="eastAsia"/>
          <w:highlight w:val="none"/>
          <w:lang w:val="en-US" w:eastAsia="zh-CN"/>
        </w:rPr>
        <w:t>1</w:t>
      </w:r>
      <w:r>
        <w:rPr>
          <w:rFonts w:hint="eastAsia"/>
          <w:highlight w:val="none"/>
        </w:rPr>
        <w:t>篇获省领导批示；</w:t>
      </w:r>
      <w:r>
        <w:rPr>
          <w:rFonts w:hint="eastAsia"/>
          <w:color w:val="auto"/>
          <w:highlight w:val="none"/>
          <w:lang w:val="en-US" w:eastAsia="zh-CN"/>
        </w:rPr>
        <w:t>承担上级交办课题14项，形成高质量决策咨询调研报告三十余份；</w:t>
      </w:r>
      <w:r>
        <w:rPr>
          <w:rFonts w:hint="eastAsia"/>
          <w:highlight w:val="none"/>
        </w:rPr>
        <w:t>在中央“三报一刊”和省部级新闻媒体理论版发表“硬核”理论文章</w:t>
      </w:r>
      <w:r>
        <w:rPr>
          <w:rFonts w:hint="eastAsia"/>
          <w:highlight w:val="none"/>
          <w:lang w:val="en-US" w:eastAsia="zh-CN"/>
        </w:rPr>
        <w:t>65</w:t>
      </w:r>
      <w:r>
        <w:rPr>
          <w:rFonts w:hint="eastAsia"/>
          <w:highlight w:val="none"/>
        </w:rPr>
        <w:t>篇。</w:t>
      </w:r>
    </w:p>
    <w:p>
      <w:pPr>
        <w:ind w:firstLine="480"/>
        <w:rPr>
          <w:rFonts w:hint="eastAsia"/>
        </w:rPr>
      </w:pPr>
      <w:r>
        <w:rPr>
          <w:rFonts w:hint="eastAsia"/>
        </w:rPr>
        <w:t>三是不断推进研究生学践结合。一方面，鼓励学生参与导师各类课题</w:t>
      </w:r>
      <w:r>
        <w:rPr>
          <w:rFonts w:hint="eastAsia"/>
          <w:lang w:val="en-US" w:eastAsia="zh-CN"/>
        </w:rPr>
        <w:t>及</w:t>
      </w:r>
      <w:r>
        <w:rPr>
          <w:rFonts w:hint="eastAsia"/>
        </w:rPr>
        <w:t>应用决策研究</w:t>
      </w:r>
      <w:r>
        <w:rPr>
          <w:rFonts w:hint="eastAsia"/>
          <w:lang w:eastAsia="zh-CN"/>
        </w:rPr>
        <w:t>，</w:t>
      </w:r>
      <w:r>
        <w:rPr>
          <w:rFonts w:hint="eastAsia"/>
        </w:rPr>
        <w:t>在课题调研和</w:t>
      </w:r>
      <w:r>
        <w:rPr>
          <w:rFonts w:hint="eastAsia"/>
          <w:lang w:val="en-US" w:eastAsia="zh-CN"/>
        </w:rPr>
        <w:t>研究报告</w:t>
      </w:r>
      <w:r>
        <w:rPr>
          <w:rFonts w:hint="eastAsia"/>
        </w:rPr>
        <w:t>写作中锻炼使用理论武器分析实际问题和解决问题的能力</w:t>
      </w:r>
      <w:r>
        <w:rPr>
          <w:rFonts w:hint="eastAsia"/>
          <w:lang w:eastAsia="zh-CN"/>
        </w:rPr>
        <w:t>。同时，依托社科院在省内建立的50多个研究基地、调研基地（含10家分院），以及覆盖4个调研基地的200个家庭、80个社区的省情调研网，研究生拥有大量固定的实习、调研和交流机会，为</w:t>
      </w:r>
      <w:r>
        <w:rPr>
          <w:rFonts w:hint="eastAsia"/>
          <w:lang w:val="en-US" w:eastAsia="zh-CN"/>
        </w:rPr>
        <w:t>学生</w:t>
      </w:r>
      <w:r>
        <w:rPr>
          <w:rFonts w:hint="eastAsia"/>
          <w:lang w:eastAsia="zh-CN"/>
        </w:rPr>
        <w:t>成长为复合型高层次人才提供基础保障。</w:t>
      </w:r>
      <w:r>
        <w:rPr>
          <w:rFonts w:hint="eastAsia"/>
        </w:rPr>
        <w:t>另一方面，引导</w:t>
      </w:r>
      <w:r>
        <w:rPr>
          <w:rFonts w:hint="eastAsia"/>
          <w:lang w:val="en-US" w:eastAsia="zh-CN"/>
        </w:rPr>
        <w:t>学生</w:t>
      </w:r>
      <w:r>
        <w:rPr>
          <w:rFonts w:hint="eastAsia"/>
        </w:rPr>
        <w:t>积极参加</w:t>
      </w:r>
      <w:r>
        <w:rPr>
          <w:rFonts w:hint="eastAsia"/>
          <w:lang w:val="en-US" w:eastAsia="zh-CN"/>
        </w:rPr>
        <w:t>院</w:t>
      </w:r>
      <w:r>
        <w:rPr>
          <w:rFonts w:hint="eastAsia"/>
        </w:rPr>
        <w:t>内外各级各类学术活动、学术会议，积极“走出去”，交流科研心得、开拓学术眼界、把握理论前沿，加强研究生科研与创新能力的过程训练。</w:t>
      </w:r>
      <w:bookmarkStart w:id="34" w:name="_Toc15487"/>
    </w:p>
    <w:p>
      <w:pPr>
        <w:pStyle w:val="4"/>
        <w:keepNext w:val="0"/>
        <w:keepLines w:val="0"/>
        <w:widowControl w:val="0"/>
        <w:ind w:firstLine="602" w:firstLineChars="200"/>
        <w:rPr>
          <w:rFonts w:hint="eastAsia"/>
        </w:rPr>
      </w:pPr>
      <w:bookmarkStart w:id="35" w:name="_Toc16115"/>
      <w:bookmarkStart w:id="36" w:name="_Toc13158"/>
      <w:bookmarkStart w:id="37" w:name="_Toc12896"/>
      <w:bookmarkStart w:id="38" w:name="_Toc127791864"/>
      <w:bookmarkStart w:id="39" w:name="_Toc28289"/>
      <w:r>
        <w:rPr>
          <w:rFonts w:hint="eastAsia"/>
        </w:rPr>
        <w:t>（三）</w:t>
      </w:r>
      <w:bookmarkEnd w:id="26"/>
      <w:bookmarkEnd w:id="27"/>
      <w:r>
        <w:rPr>
          <w:rFonts w:hint="eastAsia"/>
        </w:rPr>
        <w:t>研究生基本</w:t>
      </w:r>
      <w:bookmarkEnd w:id="34"/>
      <w:r>
        <w:rPr>
          <w:rFonts w:hint="eastAsia"/>
        </w:rPr>
        <w:t>情况</w:t>
      </w:r>
      <w:bookmarkEnd w:id="35"/>
      <w:bookmarkEnd w:id="36"/>
      <w:bookmarkEnd w:id="37"/>
      <w:bookmarkEnd w:id="38"/>
      <w:bookmarkEnd w:id="39"/>
    </w:p>
    <w:p>
      <w:pPr>
        <w:pStyle w:val="5"/>
        <w:keepNext w:val="0"/>
        <w:keepLines w:val="0"/>
        <w:widowControl w:val="0"/>
        <w:ind w:firstLine="560" w:firstLineChars="200"/>
        <w:rPr>
          <w:rFonts w:hint="eastAsia"/>
        </w:rPr>
      </w:pPr>
      <w:bookmarkStart w:id="40" w:name="_Toc17196"/>
      <w:r>
        <w:rPr>
          <w:rFonts w:hint="eastAsia"/>
        </w:rPr>
        <w:t>1.招生选拔和生源</w:t>
      </w:r>
      <w:bookmarkEnd w:id="40"/>
    </w:p>
    <w:p>
      <w:pPr>
        <w:ind w:firstLine="480"/>
        <w:rPr>
          <w:rFonts w:hint="default" w:eastAsia="宋体"/>
          <w:lang w:val="en-US" w:eastAsia="zh-CN"/>
        </w:rPr>
      </w:pPr>
      <w:r>
        <w:rPr>
          <w:rFonts w:hint="eastAsia"/>
        </w:rPr>
        <w:t>我院积极认真贯彻落实教育部《</w:t>
      </w:r>
      <w:r>
        <w:rPr>
          <w:rFonts w:hint="eastAsia"/>
          <w:highlight w:val="none"/>
        </w:rPr>
        <w:t>202</w:t>
      </w:r>
      <w:r>
        <w:rPr>
          <w:rFonts w:hint="eastAsia"/>
          <w:highlight w:val="none"/>
          <w:lang w:eastAsia="zh-CN"/>
        </w:rPr>
        <w:t>3</w:t>
      </w:r>
      <w:r>
        <w:rPr>
          <w:rFonts w:hint="eastAsia"/>
          <w:highlight w:val="none"/>
        </w:rPr>
        <w:t>年全国硕士研究生招生工作管理规定</w:t>
      </w:r>
      <w:r>
        <w:rPr>
          <w:rFonts w:hint="eastAsia"/>
        </w:rPr>
        <w:t>》和广东省招生办的各项政策规定，加强规范管理，不断改革创新，确保研究生招生考试公平、公正、公开，科学选拔优质生源，为培养造就德才兼备、服务经济社会发展的高层次人才奠定良好基础。</w:t>
      </w:r>
      <w:r>
        <w:rPr>
          <w:rFonts w:hint="eastAsia"/>
          <w:lang w:val="en-US" w:eastAsia="zh-CN"/>
        </w:rPr>
        <w:t>2023年，我院共计划招生28人，均为学术型研究生。</w:t>
      </w:r>
    </w:p>
    <w:p>
      <w:pPr>
        <w:pStyle w:val="6"/>
        <w:keepNext w:val="0"/>
        <w:keepLines w:val="0"/>
        <w:spacing w:before="95" w:beforeLines="30" w:after="157" w:afterLines="50" w:line="240" w:lineRule="auto"/>
        <w:rPr>
          <w:rFonts w:hint="default" w:ascii="Times New Roman" w:hAnsi="Times New Roman" w:eastAsia="宋体"/>
          <w:b/>
          <w:bCs w:val="0"/>
          <w:lang w:eastAsia="zh-CN"/>
        </w:rPr>
      </w:pPr>
      <w:r>
        <w:rPr>
          <w:rFonts w:hint="default" w:ascii="Times New Roman" w:hAnsi="Times New Roman"/>
          <w:b/>
          <w:bCs w:val="0"/>
        </w:rPr>
        <w:t>表</w:t>
      </w:r>
      <w:r>
        <w:rPr>
          <w:rFonts w:hint="default" w:ascii="Times New Roman" w:hAnsi="Times New Roman"/>
          <w:b/>
          <w:bCs w:val="0"/>
        </w:rPr>
        <w:fldChar w:fldCharType="begin"/>
      </w:r>
      <w:r>
        <w:rPr>
          <w:rFonts w:hint="default" w:ascii="Times New Roman" w:hAnsi="Times New Roman"/>
          <w:b/>
          <w:bCs w:val="0"/>
        </w:rPr>
        <w:instrText xml:space="preserve"> SEQ 表 \* ARABIC </w:instrText>
      </w:r>
      <w:r>
        <w:rPr>
          <w:rFonts w:hint="default" w:ascii="Times New Roman" w:hAnsi="Times New Roman"/>
          <w:b/>
          <w:bCs w:val="0"/>
        </w:rPr>
        <w:fldChar w:fldCharType="separate"/>
      </w:r>
      <w:r>
        <w:rPr>
          <w:rFonts w:ascii="Times New Roman" w:hAnsi="Times New Roman"/>
          <w:b/>
          <w:bCs w:val="0"/>
        </w:rPr>
        <w:t>2</w:t>
      </w:r>
      <w:r>
        <w:rPr>
          <w:rFonts w:hint="default" w:ascii="Times New Roman" w:hAnsi="Times New Roman"/>
          <w:b/>
          <w:bCs w:val="0"/>
        </w:rPr>
        <w:fldChar w:fldCharType="end"/>
      </w:r>
      <w:r>
        <w:rPr>
          <w:rFonts w:hint="default" w:ascii="Times New Roman" w:hAnsi="Times New Roman"/>
          <w:b/>
          <w:bCs w:val="0"/>
        </w:rPr>
        <w:t xml:space="preserve">  202</w:t>
      </w:r>
      <w:r>
        <w:rPr>
          <w:rFonts w:hint="default" w:ascii="Times New Roman" w:hAnsi="Times New Roman"/>
          <w:b/>
          <w:bCs w:val="0"/>
          <w:highlight w:val="none"/>
          <w:lang w:eastAsia="zh-CN"/>
        </w:rPr>
        <w:t>3</w:t>
      </w:r>
      <w:r>
        <w:rPr>
          <w:rFonts w:hint="default" w:ascii="Times New Roman" w:hAnsi="Times New Roman"/>
          <w:b/>
          <w:bCs w:val="0"/>
        </w:rPr>
        <w:t>年生源</w:t>
      </w:r>
      <w:r>
        <w:rPr>
          <w:rFonts w:hint="default" w:ascii="Times New Roman" w:hAnsi="Times New Roman"/>
          <w:b/>
          <w:bCs w:val="0"/>
          <w:lang w:eastAsia="zh-CN"/>
        </w:rPr>
        <w:t>情况</w:t>
      </w:r>
    </w:p>
    <w:tbl>
      <w:tblPr>
        <w:tblStyle w:val="1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2"/>
        <w:gridCol w:w="1505"/>
        <w:gridCol w:w="1788"/>
        <w:gridCol w:w="1788"/>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3" w:type="pct"/>
            <w:noWrap/>
            <w:vAlign w:val="center"/>
          </w:tcPr>
          <w:p>
            <w:pPr>
              <w:pStyle w:val="30"/>
              <w:widowControl w:val="0"/>
              <w:spacing w:line="240" w:lineRule="auto"/>
              <w:rPr>
                <w:rFonts w:hint="eastAsia"/>
              </w:rPr>
            </w:pPr>
          </w:p>
        </w:tc>
        <w:tc>
          <w:tcPr>
            <w:tcW w:w="883" w:type="pct"/>
            <w:noWrap w:val="0"/>
            <w:vAlign w:val="center"/>
          </w:tcPr>
          <w:p>
            <w:pPr>
              <w:pStyle w:val="30"/>
              <w:widowControl w:val="0"/>
              <w:spacing w:line="240" w:lineRule="auto"/>
              <w:rPr>
                <w:rFonts w:hint="eastAsia"/>
              </w:rPr>
            </w:pPr>
            <w:r>
              <w:rPr>
                <w:rFonts w:hint="eastAsia"/>
              </w:rPr>
              <w:t>理论经济学</w:t>
            </w:r>
          </w:p>
        </w:tc>
        <w:tc>
          <w:tcPr>
            <w:tcW w:w="1049" w:type="pct"/>
            <w:noWrap w:val="0"/>
            <w:vAlign w:val="center"/>
          </w:tcPr>
          <w:p>
            <w:pPr>
              <w:pStyle w:val="30"/>
              <w:widowControl w:val="0"/>
              <w:spacing w:line="240" w:lineRule="auto"/>
              <w:rPr>
                <w:rFonts w:hint="eastAsia"/>
              </w:rPr>
            </w:pPr>
            <w:r>
              <w:rPr>
                <w:rFonts w:hint="eastAsia"/>
              </w:rPr>
              <w:t>应用经济学</w:t>
            </w:r>
          </w:p>
        </w:tc>
        <w:tc>
          <w:tcPr>
            <w:tcW w:w="1049" w:type="pct"/>
            <w:noWrap w:val="0"/>
            <w:vAlign w:val="center"/>
          </w:tcPr>
          <w:p>
            <w:pPr>
              <w:pStyle w:val="30"/>
              <w:widowControl w:val="0"/>
              <w:spacing w:line="240" w:lineRule="auto"/>
              <w:rPr>
                <w:rFonts w:hint="eastAsia"/>
              </w:rPr>
            </w:pPr>
            <w:r>
              <w:rPr>
                <w:rFonts w:hint="eastAsia"/>
              </w:rPr>
              <w:t>中国史</w:t>
            </w:r>
          </w:p>
        </w:tc>
        <w:tc>
          <w:tcPr>
            <w:tcW w:w="883" w:type="pct"/>
            <w:noWrap w:val="0"/>
            <w:vAlign w:val="center"/>
          </w:tcPr>
          <w:p>
            <w:pPr>
              <w:pStyle w:val="30"/>
              <w:widowControl w:val="0"/>
              <w:spacing w:line="240" w:lineRule="auto"/>
              <w:rPr>
                <w:rFonts w:hint="eastAsia"/>
              </w:rPr>
            </w:pPr>
            <w:r>
              <w:rPr>
                <w:rFonts w:hint="eastAsia"/>
              </w:rPr>
              <w:t>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133" w:type="pct"/>
            <w:noWrap w:val="0"/>
            <w:vAlign w:val="center"/>
          </w:tcPr>
          <w:p>
            <w:pPr>
              <w:pStyle w:val="30"/>
              <w:widowControl w:val="0"/>
              <w:spacing w:line="240" w:lineRule="auto"/>
              <w:rPr>
                <w:rFonts w:hint="eastAsia"/>
                <w:lang w:eastAsia="zh-CN"/>
              </w:rPr>
            </w:pPr>
            <w:r>
              <w:rPr>
                <w:rFonts w:hint="eastAsia"/>
                <w:lang w:eastAsia="zh-CN"/>
              </w:rPr>
              <w:t>双一流</w:t>
            </w:r>
            <w:r>
              <w:rPr>
                <w:rFonts w:hint="eastAsia"/>
              </w:rPr>
              <w:t>高校</w:t>
            </w:r>
          </w:p>
          <w:p>
            <w:pPr>
              <w:pStyle w:val="30"/>
              <w:widowControl w:val="0"/>
              <w:spacing w:line="240" w:lineRule="auto"/>
              <w:rPr>
                <w:rFonts w:hint="eastAsia"/>
              </w:rPr>
            </w:pPr>
            <w:r>
              <w:rPr>
                <w:rFonts w:hint="eastAsia"/>
              </w:rPr>
              <w:t>生源数量（人）</w:t>
            </w:r>
          </w:p>
        </w:tc>
        <w:tc>
          <w:tcPr>
            <w:tcW w:w="883" w:type="pct"/>
            <w:vMerge w:val="restart"/>
            <w:noWrap w:val="0"/>
            <w:vAlign w:val="center"/>
          </w:tcPr>
          <w:p>
            <w:pPr>
              <w:pStyle w:val="30"/>
              <w:widowControl w:val="0"/>
              <w:spacing w:line="240" w:lineRule="auto"/>
              <w:rPr>
                <w:rFonts w:hint="eastAsia" w:eastAsia="宋体"/>
                <w:lang w:eastAsia="zh-CN"/>
              </w:rPr>
            </w:pPr>
            <w:r>
              <w:rPr>
                <w:rFonts w:hint="eastAsia"/>
                <w:lang w:val="en-US" w:eastAsia="zh-CN"/>
              </w:rPr>
              <w:t>3</w:t>
            </w:r>
          </w:p>
        </w:tc>
        <w:tc>
          <w:tcPr>
            <w:tcW w:w="1049" w:type="pct"/>
            <w:vMerge w:val="restart"/>
            <w:noWrap w:val="0"/>
            <w:vAlign w:val="center"/>
          </w:tcPr>
          <w:p>
            <w:pPr>
              <w:pStyle w:val="30"/>
              <w:widowControl w:val="0"/>
              <w:spacing w:line="240" w:lineRule="auto"/>
              <w:rPr>
                <w:rFonts w:hint="eastAsia"/>
              </w:rPr>
            </w:pPr>
            <w:r>
              <w:rPr>
                <w:rFonts w:hint="eastAsia"/>
              </w:rPr>
              <w:t>7</w:t>
            </w:r>
          </w:p>
        </w:tc>
        <w:tc>
          <w:tcPr>
            <w:tcW w:w="1049" w:type="pct"/>
            <w:vMerge w:val="restart"/>
            <w:noWrap w:val="0"/>
            <w:vAlign w:val="center"/>
          </w:tcPr>
          <w:p>
            <w:pPr>
              <w:pStyle w:val="30"/>
              <w:widowControl w:val="0"/>
              <w:spacing w:line="240" w:lineRule="auto"/>
              <w:rPr>
                <w:rFonts w:hint="eastAsia"/>
              </w:rPr>
            </w:pPr>
            <w:r>
              <w:rPr>
                <w:rFonts w:hint="eastAsia"/>
              </w:rPr>
              <w:t>1</w:t>
            </w:r>
          </w:p>
        </w:tc>
        <w:tc>
          <w:tcPr>
            <w:tcW w:w="883" w:type="pct"/>
            <w:vMerge w:val="restart"/>
            <w:noWrap w:val="0"/>
            <w:vAlign w:val="center"/>
          </w:tcPr>
          <w:p>
            <w:pPr>
              <w:pStyle w:val="30"/>
              <w:widowControl w:val="0"/>
              <w:spacing w:line="240" w:lineRule="auto"/>
              <w:rPr>
                <w:rFonts w:hint="eastAsia" w:eastAsia="宋体"/>
                <w:lang w:eastAsia="zh-CN"/>
              </w:rPr>
            </w:pP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133" w:type="pct"/>
            <w:noWrap w:val="0"/>
            <w:vAlign w:val="center"/>
          </w:tcPr>
          <w:p>
            <w:pPr>
              <w:pStyle w:val="30"/>
              <w:widowControl w:val="0"/>
              <w:spacing w:line="240" w:lineRule="auto"/>
              <w:rPr>
                <w:rFonts w:hint="eastAsia"/>
                <w:lang w:eastAsia="zh-CN"/>
              </w:rPr>
            </w:pPr>
            <w:r>
              <w:rPr>
                <w:rFonts w:hint="eastAsia"/>
                <w:lang w:eastAsia="zh-CN"/>
              </w:rPr>
              <w:t>双一流</w:t>
            </w:r>
            <w:r>
              <w:rPr>
                <w:rFonts w:hint="eastAsia"/>
              </w:rPr>
              <w:t>高校</w:t>
            </w:r>
          </w:p>
          <w:p>
            <w:pPr>
              <w:pStyle w:val="30"/>
              <w:widowControl w:val="0"/>
              <w:spacing w:line="240" w:lineRule="auto"/>
              <w:rPr>
                <w:rFonts w:hint="eastAsia"/>
              </w:rPr>
            </w:pPr>
            <w:r>
              <w:rPr>
                <w:rFonts w:hint="eastAsia"/>
              </w:rPr>
              <w:t>生源比率（%）</w:t>
            </w:r>
          </w:p>
        </w:tc>
        <w:tc>
          <w:tcPr>
            <w:tcW w:w="883" w:type="pct"/>
            <w:noWrap w:val="0"/>
            <w:vAlign w:val="center"/>
          </w:tcPr>
          <w:p>
            <w:pPr>
              <w:pStyle w:val="30"/>
              <w:widowControl w:val="0"/>
              <w:spacing w:line="240" w:lineRule="auto"/>
              <w:rPr>
                <w:rFonts w:hint="eastAsia"/>
              </w:rPr>
            </w:pPr>
            <w:r>
              <w:rPr>
                <w:rFonts w:hint="eastAsia"/>
                <w:lang w:val="en-US" w:eastAsia="zh-CN"/>
              </w:rPr>
              <w:t>50</w:t>
            </w:r>
            <w:r>
              <w:rPr>
                <w:rFonts w:hint="eastAsia"/>
              </w:rPr>
              <w:t>%</w:t>
            </w:r>
          </w:p>
        </w:tc>
        <w:tc>
          <w:tcPr>
            <w:tcW w:w="1049" w:type="pct"/>
            <w:noWrap w:val="0"/>
            <w:vAlign w:val="center"/>
          </w:tcPr>
          <w:p>
            <w:pPr>
              <w:pStyle w:val="30"/>
              <w:widowControl w:val="0"/>
              <w:spacing w:line="240" w:lineRule="auto"/>
              <w:rPr>
                <w:rFonts w:hint="eastAsia"/>
              </w:rPr>
            </w:pPr>
            <w:r>
              <w:rPr>
                <w:rFonts w:hint="eastAsia"/>
              </w:rPr>
              <w:t>70%</w:t>
            </w:r>
          </w:p>
        </w:tc>
        <w:tc>
          <w:tcPr>
            <w:tcW w:w="1049" w:type="pct"/>
            <w:noWrap w:val="0"/>
            <w:vAlign w:val="center"/>
          </w:tcPr>
          <w:p>
            <w:pPr>
              <w:pStyle w:val="30"/>
              <w:widowControl w:val="0"/>
              <w:spacing w:line="240" w:lineRule="auto"/>
              <w:rPr>
                <w:rFonts w:hint="eastAsia"/>
              </w:rPr>
            </w:pPr>
            <w:r>
              <w:rPr>
                <w:rFonts w:hint="eastAsia"/>
              </w:rPr>
              <w:t>16.67%</w:t>
            </w:r>
          </w:p>
        </w:tc>
        <w:tc>
          <w:tcPr>
            <w:tcW w:w="883" w:type="pct"/>
            <w:noWrap w:val="0"/>
            <w:vAlign w:val="center"/>
          </w:tcPr>
          <w:p>
            <w:pPr>
              <w:pStyle w:val="30"/>
              <w:widowControl w:val="0"/>
              <w:spacing w:line="240" w:lineRule="auto"/>
              <w:rPr>
                <w:rFonts w:hint="eastAsia"/>
              </w:rPr>
            </w:pPr>
            <w:r>
              <w:rPr>
                <w:rFonts w:hint="eastAsia"/>
                <w:lang w:val="en-US" w:eastAsia="zh-CN"/>
              </w:rPr>
              <w:t>50</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133" w:type="pct"/>
            <w:noWrap w:val="0"/>
            <w:vAlign w:val="center"/>
          </w:tcPr>
          <w:p>
            <w:pPr>
              <w:pStyle w:val="30"/>
              <w:widowControl w:val="0"/>
              <w:spacing w:line="240" w:lineRule="auto"/>
              <w:rPr>
                <w:rFonts w:hint="eastAsia"/>
              </w:rPr>
            </w:pPr>
            <w:r>
              <w:rPr>
                <w:rFonts w:hint="eastAsia"/>
              </w:rPr>
              <w:t>招生人数（人）</w:t>
            </w:r>
          </w:p>
        </w:tc>
        <w:tc>
          <w:tcPr>
            <w:tcW w:w="883" w:type="pct"/>
            <w:noWrap w:val="0"/>
            <w:vAlign w:val="center"/>
          </w:tcPr>
          <w:p>
            <w:pPr>
              <w:pStyle w:val="30"/>
              <w:widowControl w:val="0"/>
              <w:spacing w:line="240" w:lineRule="auto"/>
              <w:rPr>
                <w:rFonts w:hint="eastAsia"/>
              </w:rPr>
            </w:pPr>
            <w:r>
              <w:rPr>
                <w:rFonts w:hint="eastAsia"/>
              </w:rPr>
              <w:t>6</w:t>
            </w:r>
          </w:p>
        </w:tc>
        <w:tc>
          <w:tcPr>
            <w:tcW w:w="1049" w:type="pct"/>
            <w:noWrap w:val="0"/>
            <w:vAlign w:val="center"/>
          </w:tcPr>
          <w:p>
            <w:pPr>
              <w:pStyle w:val="30"/>
              <w:widowControl w:val="0"/>
              <w:spacing w:line="240" w:lineRule="auto"/>
              <w:rPr>
                <w:rFonts w:hint="eastAsia"/>
              </w:rPr>
            </w:pPr>
            <w:r>
              <w:rPr>
                <w:rFonts w:hint="eastAsia"/>
              </w:rPr>
              <w:t>10</w:t>
            </w:r>
          </w:p>
        </w:tc>
        <w:tc>
          <w:tcPr>
            <w:tcW w:w="1049" w:type="pct"/>
            <w:noWrap w:val="0"/>
            <w:vAlign w:val="center"/>
          </w:tcPr>
          <w:p>
            <w:pPr>
              <w:pStyle w:val="30"/>
              <w:widowControl w:val="0"/>
              <w:spacing w:line="240" w:lineRule="auto"/>
              <w:rPr>
                <w:rFonts w:hint="eastAsia"/>
              </w:rPr>
            </w:pPr>
            <w:r>
              <w:rPr>
                <w:rFonts w:hint="eastAsia"/>
              </w:rPr>
              <w:t>6</w:t>
            </w:r>
          </w:p>
        </w:tc>
        <w:tc>
          <w:tcPr>
            <w:tcW w:w="883" w:type="pct"/>
            <w:noWrap w:val="0"/>
            <w:vAlign w:val="center"/>
          </w:tcPr>
          <w:p>
            <w:pPr>
              <w:pStyle w:val="30"/>
              <w:widowControl w:val="0"/>
              <w:spacing w:line="240" w:lineRule="auto"/>
              <w:rPr>
                <w:rFonts w:hint="eastAsia"/>
              </w:rPr>
            </w:pPr>
            <w:r>
              <w:rPr>
                <w:rFonts w:hint="eastAsia"/>
              </w:rPr>
              <w:t>6</w:t>
            </w:r>
          </w:p>
        </w:tc>
      </w:tr>
    </w:tbl>
    <w:p>
      <w:pPr>
        <w:spacing w:before="157" w:beforeLines="50"/>
        <w:ind w:firstLine="480"/>
        <w:rPr>
          <w:rFonts w:hint="eastAsia" w:ascii="仿宋" w:hAnsi="仿宋" w:eastAsia="仿宋" w:cs="仿宋"/>
          <w:szCs w:val="32"/>
        </w:rPr>
      </w:pPr>
      <w:r>
        <w:rPr>
          <w:rFonts w:hint="eastAsia"/>
          <w:highlight w:val="none"/>
        </w:rPr>
        <w:t>202</w:t>
      </w:r>
      <w:r>
        <w:rPr>
          <w:rFonts w:hint="eastAsia"/>
          <w:highlight w:val="none"/>
          <w:lang w:eastAsia="zh-CN"/>
        </w:rPr>
        <w:t>3</w:t>
      </w:r>
      <w:r>
        <w:rPr>
          <w:rFonts w:hint="eastAsia"/>
          <w:highlight w:val="none"/>
        </w:rPr>
        <w:t>年，</w:t>
      </w:r>
      <w:r>
        <w:rPr>
          <w:rFonts w:hint="eastAsia"/>
        </w:rPr>
        <w:t>我院提前制定招生计划，明确工作职责；在招生过程中坚持分阶段督查、全程把握情况，确保招生工作安全、有序、顺利展开。为了保证生源质量，</w:t>
      </w:r>
      <w:r>
        <w:rPr>
          <w:rFonts w:hint="eastAsia"/>
          <w:lang w:val="en-US" w:eastAsia="zh-CN"/>
        </w:rPr>
        <w:t>我院</w:t>
      </w:r>
      <w:r>
        <w:rPr>
          <w:rFonts w:hint="eastAsia"/>
        </w:rPr>
        <w:t>严格把控复试关</w:t>
      </w:r>
      <w:r>
        <w:rPr>
          <w:rFonts w:hint="eastAsia"/>
          <w:highlight w:val="none"/>
        </w:rPr>
        <w:t>，</w:t>
      </w:r>
      <w:r>
        <w:rPr>
          <w:rFonts w:hint="eastAsia"/>
          <w:highlight w:val="none"/>
          <w:lang w:eastAsia="zh-CN"/>
        </w:rPr>
        <w:t>持续推进一级学科统一命题及题库建设，优化</w:t>
      </w:r>
      <w:r>
        <w:rPr>
          <w:rFonts w:hint="eastAsia"/>
          <w:highlight w:val="none"/>
          <w:lang w:val="en-US" w:eastAsia="zh-CN"/>
        </w:rPr>
        <w:t>复</w:t>
      </w:r>
      <w:r>
        <w:rPr>
          <w:rFonts w:hint="eastAsia"/>
          <w:highlight w:val="none"/>
          <w:lang w:eastAsia="zh-CN"/>
        </w:rPr>
        <w:t>试科目和内容</w:t>
      </w:r>
      <w:r>
        <w:rPr>
          <w:rFonts w:hint="eastAsia"/>
          <w:highlight w:val="none"/>
        </w:rPr>
        <w:t>，进一步加强思想政治</w:t>
      </w:r>
      <w:r>
        <w:rPr>
          <w:rFonts w:hint="eastAsia"/>
          <w:highlight w:val="none"/>
          <w:lang w:val="en-US" w:eastAsia="zh-Hans"/>
        </w:rPr>
        <w:t>和综合</w:t>
      </w:r>
      <w:r>
        <w:rPr>
          <w:rFonts w:hint="eastAsia"/>
          <w:highlight w:val="none"/>
        </w:rPr>
        <w:t>品德考查，</w:t>
      </w:r>
      <w:r>
        <w:rPr>
          <w:rFonts w:hint="eastAsia"/>
          <w:highlight w:val="none"/>
          <w:lang w:val="en-US" w:eastAsia="zh-CN"/>
        </w:rPr>
        <w:t>按照排名差额淘汰，择优录取。</w:t>
      </w:r>
      <w:r>
        <w:rPr>
          <w:rFonts w:hint="eastAsia"/>
          <w:highlight w:val="none"/>
        </w:rPr>
        <w:t>通过</w:t>
      </w:r>
      <w:r>
        <w:rPr>
          <w:rFonts w:hint="eastAsia"/>
          <w:highlight w:val="none"/>
          <w:lang w:val="en-US" w:eastAsia="zh-CN"/>
        </w:rPr>
        <w:t>现场笔试+面试的</w:t>
      </w:r>
      <w:r>
        <w:rPr>
          <w:rFonts w:hint="eastAsia"/>
          <w:highlight w:val="none"/>
        </w:rPr>
        <w:t>方式招生28人，</w:t>
      </w:r>
      <w:r>
        <w:rPr>
          <w:rFonts w:hint="eastAsia"/>
          <w:highlight w:val="none"/>
          <w:lang w:val="en-US" w:eastAsia="zh-CN"/>
        </w:rPr>
        <w:t>完成年度招生计划</w:t>
      </w:r>
      <w:r>
        <w:rPr>
          <w:rFonts w:hint="eastAsia"/>
          <w:highlight w:val="none"/>
        </w:rPr>
        <w:t>。其中，</w:t>
      </w:r>
      <w:r>
        <w:rPr>
          <w:rFonts w:hint="eastAsia"/>
          <w:highlight w:val="none"/>
          <w:lang w:eastAsia="zh-CN"/>
        </w:rPr>
        <w:t>双一流</w:t>
      </w:r>
      <w:r>
        <w:rPr>
          <w:rFonts w:hint="eastAsia"/>
          <w:highlight w:val="none"/>
        </w:rPr>
        <w:t>高校生源14人，占比50%。生源情况见表2。</w:t>
      </w:r>
    </w:p>
    <w:p>
      <w:pPr>
        <w:pStyle w:val="5"/>
        <w:keepNext w:val="0"/>
        <w:keepLines w:val="0"/>
        <w:widowControl w:val="0"/>
        <w:ind w:firstLine="560" w:firstLineChars="200"/>
        <w:rPr>
          <w:rFonts w:hint="eastAsia"/>
        </w:rPr>
      </w:pPr>
      <w:bookmarkStart w:id="41" w:name="_Toc10905"/>
      <w:r>
        <w:rPr>
          <w:rFonts w:hint="eastAsia"/>
        </w:rPr>
        <w:t>2.在校生规模与结构</w:t>
      </w:r>
      <w:bookmarkEnd w:id="41"/>
    </w:p>
    <w:p>
      <w:pPr>
        <w:ind w:firstLine="480"/>
        <w:rPr>
          <w:rFonts w:hint="eastAsia"/>
        </w:rPr>
      </w:pPr>
      <w:r>
        <w:rPr>
          <w:rFonts w:hint="eastAsia"/>
          <w:highlight w:val="none"/>
          <w:lang w:val="en-US" w:eastAsia="zh-CN"/>
        </w:rPr>
        <w:t>截至</w:t>
      </w:r>
      <w:r>
        <w:rPr>
          <w:rFonts w:hint="eastAsia"/>
          <w:highlight w:val="none"/>
        </w:rPr>
        <w:t>202</w:t>
      </w:r>
      <w:r>
        <w:rPr>
          <w:rFonts w:hint="eastAsia"/>
          <w:highlight w:val="none"/>
          <w:lang w:eastAsia="zh-CN"/>
        </w:rPr>
        <w:t>3</w:t>
      </w:r>
      <w:r>
        <w:rPr>
          <w:rFonts w:hint="eastAsia"/>
          <w:highlight w:val="none"/>
        </w:rPr>
        <w:t>年底</w:t>
      </w:r>
      <w:r>
        <w:rPr>
          <w:rFonts w:hint="eastAsia"/>
          <w:highlight w:val="none"/>
          <w:lang w:eastAsia="zh-CN"/>
        </w:rPr>
        <w:t>，</w:t>
      </w:r>
      <w:r>
        <w:rPr>
          <w:rFonts w:hint="eastAsia"/>
          <w:highlight w:val="none"/>
          <w:lang w:val="en-US" w:eastAsia="zh-CN"/>
        </w:rPr>
        <w:t>我院</w:t>
      </w:r>
      <w:r>
        <w:rPr>
          <w:rFonts w:hint="eastAsia"/>
          <w:highlight w:val="none"/>
        </w:rPr>
        <w:t>在校生</w:t>
      </w:r>
      <w:r>
        <w:rPr>
          <w:rFonts w:hint="eastAsia"/>
          <w:highlight w:val="none"/>
          <w:lang w:val="en-US" w:eastAsia="zh-CN"/>
        </w:rPr>
        <w:t>共</w:t>
      </w:r>
      <w:r>
        <w:rPr>
          <w:rFonts w:hint="eastAsia"/>
          <w:highlight w:val="none"/>
        </w:rPr>
        <w:t>8</w:t>
      </w:r>
      <w:r>
        <w:rPr>
          <w:rFonts w:hint="eastAsia"/>
          <w:highlight w:val="none"/>
          <w:lang w:val="en-US" w:eastAsia="zh-CN"/>
        </w:rPr>
        <w:t>1</w:t>
      </w:r>
      <w:r>
        <w:rPr>
          <w:rFonts w:hint="eastAsia"/>
          <w:highlight w:val="none"/>
        </w:rPr>
        <w:t>人</w:t>
      </w:r>
      <w:r>
        <w:rPr>
          <w:rFonts w:hint="eastAsia"/>
          <w:highlight w:val="none"/>
          <w:lang w:eastAsia="zh-CN"/>
        </w:rPr>
        <w:t>，</w:t>
      </w:r>
      <w:r>
        <w:rPr>
          <w:rFonts w:hint="eastAsia"/>
          <w:highlight w:val="none"/>
          <w:lang w:val="en-US" w:eastAsia="zh-CN"/>
        </w:rPr>
        <w:t>均</w:t>
      </w:r>
      <w:r>
        <w:rPr>
          <w:rFonts w:hint="eastAsia"/>
          <w:highlight w:val="none"/>
        </w:rPr>
        <w:t>为学术型硕士研究生。其中，理论经济学17人，占比20.</w:t>
      </w:r>
      <w:r>
        <w:rPr>
          <w:rFonts w:hint="eastAsia"/>
          <w:highlight w:val="none"/>
          <w:lang w:val="en-US" w:eastAsia="zh-CN"/>
        </w:rPr>
        <w:t>99</w:t>
      </w:r>
      <w:r>
        <w:rPr>
          <w:rFonts w:hint="eastAsia"/>
          <w:highlight w:val="none"/>
        </w:rPr>
        <w:t>%；应用经济学29人，占比35.</w:t>
      </w:r>
      <w:r>
        <w:rPr>
          <w:rFonts w:hint="eastAsia"/>
          <w:highlight w:val="none"/>
          <w:lang w:val="en-US" w:eastAsia="zh-CN"/>
        </w:rPr>
        <w:t>8</w:t>
      </w:r>
      <w:r>
        <w:rPr>
          <w:rFonts w:hint="eastAsia"/>
          <w:highlight w:val="none"/>
        </w:rPr>
        <w:t>%；社会学18人，占比2</w:t>
      </w:r>
      <w:r>
        <w:rPr>
          <w:rFonts w:hint="eastAsia"/>
          <w:highlight w:val="none"/>
          <w:lang w:val="en-US" w:eastAsia="zh-CN"/>
        </w:rPr>
        <w:t>2.22</w:t>
      </w:r>
      <w:r>
        <w:rPr>
          <w:rFonts w:hint="eastAsia"/>
          <w:highlight w:val="none"/>
        </w:rPr>
        <w:t>%；中国史1</w:t>
      </w:r>
      <w:r>
        <w:rPr>
          <w:rFonts w:hint="eastAsia"/>
          <w:highlight w:val="none"/>
          <w:lang w:val="en-US" w:eastAsia="zh-CN"/>
        </w:rPr>
        <w:t>7</w:t>
      </w:r>
      <w:r>
        <w:rPr>
          <w:rFonts w:hint="eastAsia"/>
          <w:highlight w:val="none"/>
        </w:rPr>
        <w:t>人，占比2</w:t>
      </w:r>
      <w:r>
        <w:rPr>
          <w:rFonts w:hint="eastAsia"/>
          <w:highlight w:val="none"/>
          <w:lang w:val="en-US" w:eastAsia="zh-CN"/>
        </w:rPr>
        <w:t>0.99</w:t>
      </w:r>
      <w:r>
        <w:rPr>
          <w:rFonts w:hint="eastAsia"/>
          <w:highlight w:val="none"/>
        </w:rPr>
        <w:t>%。</w:t>
      </w:r>
      <w:r>
        <w:rPr>
          <w:rFonts w:hint="eastAsia"/>
        </w:rPr>
        <w:t>具体情况见表3。</w:t>
      </w:r>
    </w:p>
    <w:p>
      <w:pPr>
        <w:pStyle w:val="6"/>
        <w:keepNext w:val="0"/>
        <w:keepLines w:val="0"/>
        <w:spacing w:before="95" w:beforeLines="30" w:after="157" w:afterLines="50" w:line="240" w:lineRule="auto"/>
        <w:rPr>
          <w:rFonts w:hint="eastAsia"/>
          <w:b/>
          <w:bCs w:val="0"/>
        </w:rPr>
      </w:pPr>
      <w:r>
        <w:rPr>
          <w:rFonts w:hint="default" w:ascii="Times New Roman" w:hAnsi="Times New Roman"/>
          <w:b/>
          <w:bCs w:val="0"/>
        </w:rPr>
        <w:t>表</w:t>
      </w:r>
      <w:r>
        <w:rPr>
          <w:rFonts w:hint="default" w:ascii="Times New Roman" w:hAnsi="Times New Roman"/>
          <w:b/>
          <w:bCs w:val="0"/>
        </w:rPr>
        <w:fldChar w:fldCharType="begin"/>
      </w:r>
      <w:r>
        <w:rPr>
          <w:rFonts w:hint="default" w:ascii="Times New Roman" w:hAnsi="Times New Roman"/>
          <w:b/>
          <w:bCs w:val="0"/>
        </w:rPr>
        <w:instrText xml:space="preserve"> SEQ 表 \* ARABIC </w:instrText>
      </w:r>
      <w:r>
        <w:rPr>
          <w:rFonts w:hint="default" w:ascii="Times New Roman" w:hAnsi="Times New Roman"/>
          <w:b/>
          <w:bCs w:val="0"/>
        </w:rPr>
        <w:fldChar w:fldCharType="separate"/>
      </w:r>
      <w:r>
        <w:rPr>
          <w:rFonts w:ascii="Times New Roman" w:hAnsi="Times New Roman"/>
          <w:b/>
          <w:bCs w:val="0"/>
        </w:rPr>
        <w:t>3</w:t>
      </w:r>
      <w:r>
        <w:rPr>
          <w:rFonts w:hint="default" w:ascii="Times New Roman" w:hAnsi="Times New Roman"/>
          <w:b/>
          <w:bCs w:val="0"/>
        </w:rPr>
        <w:fldChar w:fldCharType="end"/>
      </w:r>
      <w:r>
        <w:rPr>
          <w:rFonts w:hint="default" w:ascii="Times New Roman" w:hAnsi="Times New Roman"/>
          <w:b/>
          <w:bCs w:val="0"/>
        </w:rPr>
        <w:t xml:space="preserve">  202</w:t>
      </w:r>
      <w:r>
        <w:rPr>
          <w:rFonts w:hint="eastAsia" w:ascii="Times New Roman" w:hAnsi="Times New Roman"/>
          <w:b/>
          <w:bCs w:val="0"/>
          <w:lang w:eastAsia="zh-CN"/>
        </w:rPr>
        <w:t>3</w:t>
      </w:r>
      <w:r>
        <w:rPr>
          <w:rFonts w:hint="default" w:ascii="Times New Roman" w:hAnsi="Times New Roman"/>
          <w:b/>
          <w:bCs w:val="0"/>
        </w:rPr>
        <w:t>年底各学位点在校生人</w:t>
      </w:r>
      <w:r>
        <w:rPr>
          <w:rFonts w:hint="eastAsia"/>
          <w:b/>
          <w:bCs w:val="0"/>
        </w:rPr>
        <w:t>数</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4"/>
        <w:gridCol w:w="2836"/>
        <w:gridCol w:w="2265"/>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94" w:type="pct"/>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r>
              <w:t>一级学科</w:t>
            </w:r>
          </w:p>
        </w:tc>
        <w:tc>
          <w:tcPr>
            <w:tcW w:w="1664" w:type="pct"/>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r>
              <w:t>二级学科</w:t>
            </w:r>
          </w:p>
        </w:tc>
        <w:tc>
          <w:tcPr>
            <w:tcW w:w="1329" w:type="pct"/>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r>
              <w:t>在校生人数（人）</w:t>
            </w:r>
          </w:p>
        </w:tc>
        <w:tc>
          <w:tcPr>
            <w:tcW w:w="1013" w:type="pct"/>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94" w:type="pct"/>
            <w:vMerge w:val="restart"/>
            <w:tcBorders>
              <w:top w:val="single" w:color="auto" w:sz="4" w:space="0"/>
              <w:left w:val="single" w:color="auto" w:sz="4" w:space="0"/>
              <w:right w:val="single" w:color="auto" w:sz="4" w:space="0"/>
            </w:tcBorders>
            <w:noWrap w:val="0"/>
            <w:vAlign w:val="center"/>
          </w:tcPr>
          <w:p>
            <w:pPr>
              <w:pStyle w:val="30"/>
              <w:widowControl w:val="0"/>
              <w:spacing w:line="240" w:lineRule="auto"/>
            </w:pPr>
            <w:r>
              <w:t>理论经济学</w:t>
            </w:r>
          </w:p>
        </w:tc>
        <w:tc>
          <w:tcPr>
            <w:tcW w:w="1664" w:type="pct"/>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r>
              <w:t>政治经济学</w:t>
            </w:r>
          </w:p>
        </w:tc>
        <w:tc>
          <w:tcPr>
            <w:tcW w:w="1329" w:type="pct"/>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r>
              <w:rPr>
                <w:rFonts w:hint="eastAsia"/>
              </w:rPr>
              <w:t>3</w:t>
            </w:r>
          </w:p>
        </w:tc>
        <w:tc>
          <w:tcPr>
            <w:tcW w:w="1013" w:type="pct"/>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r>
              <w:t>3.</w:t>
            </w:r>
            <w:r>
              <w:rPr>
                <w:rFonts w:hint="eastAsia"/>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94" w:type="pct"/>
            <w:vMerge w:val="continue"/>
            <w:tcBorders>
              <w:left w:val="single" w:color="auto" w:sz="4" w:space="0"/>
              <w:right w:val="single" w:color="auto" w:sz="4" w:space="0"/>
            </w:tcBorders>
            <w:noWrap w:val="0"/>
            <w:vAlign w:val="center"/>
          </w:tcPr>
          <w:p>
            <w:pPr>
              <w:pStyle w:val="30"/>
              <w:widowControl w:val="0"/>
              <w:spacing w:line="240" w:lineRule="auto"/>
            </w:pPr>
          </w:p>
        </w:tc>
        <w:tc>
          <w:tcPr>
            <w:tcW w:w="1664" w:type="pct"/>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r>
              <w:t>西方经济学</w:t>
            </w:r>
          </w:p>
        </w:tc>
        <w:tc>
          <w:tcPr>
            <w:tcW w:w="1329" w:type="pct"/>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r>
              <w:rPr>
                <w:rFonts w:hint="eastAsia"/>
              </w:rPr>
              <w:t>8</w:t>
            </w:r>
          </w:p>
        </w:tc>
        <w:tc>
          <w:tcPr>
            <w:tcW w:w="1013" w:type="pct"/>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r>
              <w:t>9.</w:t>
            </w:r>
            <w:r>
              <w:rPr>
                <w:rFonts w:hint="eastAsia"/>
                <w:lang w:val="en-US" w:eastAsia="zh-CN"/>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94" w:type="pct"/>
            <w:vMerge w:val="continue"/>
            <w:tcBorders>
              <w:left w:val="single" w:color="auto" w:sz="4" w:space="0"/>
              <w:bottom w:val="single" w:color="auto" w:sz="4" w:space="0"/>
              <w:right w:val="single" w:color="auto" w:sz="4" w:space="0"/>
            </w:tcBorders>
            <w:noWrap w:val="0"/>
            <w:vAlign w:val="center"/>
          </w:tcPr>
          <w:p>
            <w:pPr>
              <w:pStyle w:val="30"/>
              <w:widowControl w:val="0"/>
              <w:spacing w:line="240" w:lineRule="auto"/>
            </w:pPr>
          </w:p>
        </w:tc>
        <w:tc>
          <w:tcPr>
            <w:tcW w:w="1664" w:type="pct"/>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r>
              <w:t>人口、资源与环境经济学</w:t>
            </w:r>
          </w:p>
        </w:tc>
        <w:tc>
          <w:tcPr>
            <w:tcW w:w="1329" w:type="pct"/>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r>
              <w:t>6</w:t>
            </w:r>
          </w:p>
        </w:tc>
        <w:tc>
          <w:tcPr>
            <w:tcW w:w="1013" w:type="pct"/>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r>
              <w:t>7.</w:t>
            </w:r>
            <w:r>
              <w:rPr>
                <w:rFonts w:hint="eastAsia"/>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94" w:type="pct"/>
            <w:vMerge w:val="restart"/>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r>
              <w:t>应用经济学</w:t>
            </w:r>
          </w:p>
        </w:tc>
        <w:tc>
          <w:tcPr>
            <w:tcW w:w="1664" w:type="pct"/>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r>
              <w:t>区域经济学</w:t>
            </w:r>
          </w:p>
        </w:tc>
        <w:tc>
          <w:tcPr>
            <w:tcW w:w="1329" w:type="pct"/>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r>
              <w:t>3</w:t>
            </w:r>
          </w:p>
        </w:tc>
        <w:tc>
          <w:tcPr>
            <w:tcW w:w="1013" w:type="pct"/>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r>
              <w:t>3.</w:t>
            </w:r>
            <w:r>
              <w:rPr>
                <w:rFonts w:hint="eastAsia"/>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94" w:type="pct"/>
            <w:vMerge w:val="continue"/>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p>
        </w:tc>
        <w:tc>
          <w:tcPr>
            <w:tcW w:w="1664" w:type="pct"/>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r>
              <w:t>产业经济学</w:t>
            </w:r>
          </w:p>
        </w:tc>
        <w:tc>
          <w:tcPr>
            <w:tcW w:w="1329" w:type="pct"/>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r>
              <w:t>15</w:t>
            </w:r>
          </w:p>
        </w:tc>
        <w:tc>
          <w:tcPr>
            <w:tcW w:w="1013" w:type="pct"/>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r>
              <w:t>18.</w:t>
            </w:r>
            <w:r>
              <w:rPr>
                <w:rFonts w:hint="eastAsia"/>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94" w:type="pct"/>
            <w:vMerge w:val="continue"/>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p>
        </w:tc>
        <w:tc>
          <w:tcPr>
            <w:tcW w:w="1664" w:type="pct"/>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r>
              <w:t>国际贸易学</w:t>
            </w:r>
          </w:p>
        </w:tc>
        <w:tc>
          <w:tcPr>
            <w:tcW w:w="1329" w:type="pct"/>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r>
              <w:t>6</w:t>
            </w:r>
          </w:p>
        </w:tc>
        <w:tc>
          <w:tcPr>
            <w:tcW w:w="1013" w:type="pct"/>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r>
              <w:t>7.</w:t>
            </w:r>
            <w:r>
              <w:rPr>
                <w:rFonts w:hint="eastAsia"/>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94" w:type="pct"/>
            <w:vMerge w:val="continue"/>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p>
        </w:tc>
        <w:tc>
          <w:tcPr>
            <w:tcW w:w="1664" w:type="pct"/>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r>
              <w:t>金融学</w:t>
            </w:r>
          </w:p>
        </w:tc>
        <w:tc>
          <w:tcPr>
            <w:tcW w:w="1329" w:type="pct"/>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r>
              <w:t>5</w:t>
            </w:r>
          </w:p>
        </w:tc>
        <w:tc>
          <w:tcPr>
            <w:tcW w:w="1013" w:type="pct"/>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r>
              <w:t>6.1</w:t>
            </w:r>
            <w:r>
              <w:rPr>
                <w:rFonts w:hint="eastAsia"/>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94" w:type="pct"/>
            <w:vMerge w:val="restart"/>
            <w:tcBorders>
              <w:top w:val="single" w:color="auto" w:sz="4" w:space="0"/>
              <w:left w:val="single" w:color="auto" w:sz="4" w:space="0"/>
              <w:right w:val="single" w:color="auto" w:sz="4" w:space="0"/>
            </w:tcBorders>
            <w:noWrap w:val="0"/>
            <w:vAlign w:val="center"/>
          </w:tcPr>
          <w:p>
            <w:pPr>
              <w:pStyle w:val="30"/>
              <w:widowControl w:val="0"/>
              <w:spacing w:line="240" w:lineRule="auto"/>
            </w:pPr>
            <w:r>
              <w:t>社会学</w:t>
            </w:r>
          </w:p>
        </w:tc>
        <w:tc>
          <w:tcPr>
            <w:tcW w:w="1664" w:type="pct"/>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r>
              <w:t>社会学</w:t>
            </w:r>
          </w:p>
        </w:tc>
        <w:tc>
          <w:tcPr>
            <w:tcW w:w="1329" w:type="pct"/>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r>
              <w:rPr>
                <w:rFonts w:hint="eastAsia"/>
              </w:rPr>
              <w:t>9</w:t>
            </w:r>
          </w:p>
        </w:tc>
        <w:tc>
          <w:tcPr>
            <w:tcW w:w="1013" w:type="pct"/>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r>
              <w:t>1</w:t>
            </w:r>
            <w:r>
              <w:rPr>
                <w:rFonts w:hint="eastAsia"/>
                <w:lang w:val="en-US" w:eastAsia="zh-CN"/>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94" w:type="pct"/>
            <w:vMerge w:val="continue"/>
            <w:tcBorders>
              <w:left w:val="single" w:color="auto" w:sz="4" w:space="0"/>
              <w:right w:val="single" w:color="auto" w:sz="4" w:space="0"/>
            </w:tcBorders>
            <w:noWrap w:val="0"/>
            <w:vAlign w:val="center"/>
          </w:tcPr>
          <w:p>
            <w:pPr>
              <w:pStyle w:val="30"/>
              <w:widowControl w:val="0"/>
              <w:spacing w:line="240" w:lineRule="auto"/>
            </w:pPr>
          </w:p>
        </w:tc>
        <w:tc>
          <w:tcPr>
            <w:tcW w:w="1664" w:type="pct"/>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r>
              <w:t>人口学</w:t>
            </w:r>
          </w:p>
        </w:tc>
        <w:tc>
          <w:tcPr>
            <w:tcW w:w="1329" w:type="pct"/>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r>
              <w:rPr>
                <w:rFonts w:hint="eastAsia"/>
              </w:rPr>
              <w:t>6</w:t>
            </w:r>
          </w:p>
        </w:tc>
        <w:tc>
          <w:tcPr>
            <w:tcW w:w="1013" w:type="pct"/>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r>
              <w:t>7.</w:t>
            </w:r>
            <w:r>
              <w:rPr>
                <w:rFonts w:hint="eastAsia"/>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94" w:type="pct"/>
            <w:vMerge w:val="continue"/>
            <w:tcBorders>
              <w:left w:val="single" w:color="auto" w:sz="4" w:space="0"/>
              <w:bottom w:val="single" w:color="auto" w:sz="4" w:space="0"/>
              <w:right w:val="single" w:color="auto" w:sz="4" w:space="0"/>
            </w:tcBorders>
            <w:noWrap w:val="0"/>
            <w:vAlign w:val="center"/>
          </w:tcPr>
          <w:p>
            <w:pPr>
              <w:pStyle w:val="30"/>
              <w:widowControl w:val="0"/>
              <w:spacing w:line="240" w:lineRule="auto"/>
            </w:pPr>
          </w:p>
        </w:tc>
        <w:tc>
          <w:tcPr>
            <w:tcW w:w="1664" w:type="pct"/>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r>
              <w:t>民俗学</w:t>
            </w:r>
          </w:p>
        </w:tc>
        <w:tc>
          <w:tcPr>
            <w:tcW w:w="1329" w:type="pct"/>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r>
              <w:t>3</w:t>
            </w:r>
          </w:p>
        </w:tc>
        <w:tc>
          <w:tcPr>
            <w:tcW w:w="1013" w:type="pct"/>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r>
              <w:t>3.</w:t>
            </w:r>
            <w:r>
              <w:rPr>
                <w:rFonts w:hint="eastAsia"/>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94" w:type="pct"/>
            <w:vMerge w:val="restart"/>
            <w:tcBorders>
              <w:top w:val="single" w:color="auto" w:sz="4" w:space="0"/>
              <w:left w:val="single" w:color="auto" w:sz="4" w:space="0"/>
              <w:right w:val="single" w:color="auto" w:sz="4" w:space="0"/>
            </w:tcBorders>
            <w:noWrap w:val="0"/>
            <w:vAlign w:val="center"/>
          </w:tcPr>
          <w:p>
            <w:pPr>
              <w:pStyle w:val="30"/>
              <w:widowControl w:val="0"/>
              <w:spacing w:line="240" w:lineRule="auto"/>
            </w:pPr>
            <w:r>
              <w:t>中国史</w:t>
            </w:r>
          </w:p>
        </w:tc>
        <w:tc>
          <w:tcPr>
            <w:tcW w:w="1664" w:type="pct"/>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r>
              <w:t>中国古代史</w:t>
            </w:r>
          </w:p>
        </w:tc>
        <w:tc>
          <w:tcPr>
            <w:tcW w:w="1329" w:type="pct"/>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r>
              <w:t>6</w:t>
            </w:r>
          </w:p>
        </w:tc>
        <w:tc>
          <w:tcPr>
            <w:tcW w:w="1013" w:type="pct"/>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r>
              <w:t>7.</w:t>
            </w:r>
            <w:r>
              <w:rPr>
                <w:rFonts w:hint="eastAsia"/>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94" w:type="pct"/>
            <w:vMerge w:val="continue"/>
            <w:tcBorders>
              <w:left w:val="single" w:color="auto" w:sz="4" w:space="0"/>
              <w:right w:val="single" w:color="auto" w:sz="4" w:space="0"/>
            </w:tcBorders>
            <w:noWrap w:val="0"/>
            <w:vAlign w:val="center"/>
          </w:tcPr>
          <w:p>
            <w:pPr>
              <w:pStyle w:val="30"/>
              <w:widowControl w:val="0"/>
              <w:spacing w:line="240" w:lineRule="auto"/>
            </w:pPr>
          </w:p>
        </w:tc>
        <w:tc>
          <w:tcPr>
            <w:tcW w:w="1664" w:type="pct"/>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r>
              <w:t>中国近现代史</w:t>
            </w:r>
          </w:p>
        </w:tc>
        <w:tc>
          <w:tcPr>
            <w:tcW w:w="1329" w:type="pct"/>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r>
              <w:rPr>
                <w:rFonts w:hint="eastAsia"/>
                <w:lang w:val="en-US" w:eastAsia="zh-CN"/>
              </w:rPr>
              <w:t>5</w:t>
            </w:r>
          </w:p>
        </w:tc>
        <w:tc>
          <w:tcPr>
            <w:tcW w:w="1013" w:type="pct"/>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r>
              <w:rPr>
                <w:rFonts w:hint="eastAsia"/>
                <w:lang w:val="en-US" w:eastAsia="zh-CN"/>
              </w:rPr>
              <w:t>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94" w:type="pct"/>
            <w:vMerge w:val="continue"/>
            <w:tcBorders>
              <w:left w:val="single" w:color="auto" w:sz="4" w:space="0"/>
              <w:bottom w:val="single" w:color="auto" w:sz="4" w:space="0"/>
              <w:right w:val="single" w:color="auto" w:sz="4" w:space="0"/>
            </w:tcBorders>
            <w:noWrap w:val="0"/>
            <w:vAlign w:val="center"/>
          </w:tcPr>
          <w:p>
            <w:pPr>
              <w:pStyle w:val="30"/>
              <w:widowControl w:val="0"/>
              <w:spacing w:line="240" w:lineRule="auto"/>
            </w:pPr>
          </w:p>
        </w:tc>
        <w:tc>
          <w:tcPr>
            <w:tcW w:w="1664" w:type="pct"/>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r>
              <w:t>专门史</w:t>
            </w:r>
          </w:p>
        </w:tc>
        <w:tc>
          <w:tcPr>
            <w:tcW w:w="1329" w:type="pct"/>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r>
              <w:t>6</w:t>
            </w:r>
          </w:p>
        </w:tc>
        <w:tc>
          <w:tcPr>
            <w:tcW w:w="1013" w:type="pct"/>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r>
              <w:t>7.</w:t>
            </w:r>
            <w:r>
              <w:rPr>
                <w:rFonts w:hint="eastAsia"/>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658" w:type="pct"/>
            <w:gridSpan w:val="2"/>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pPr>
            <w:r>
              <w:t>合计</w:t>
            </w:r>
          </w:p>
        </w:tc>
        <w:tc>
          <w:tcPr>
            <w:tcW w:w="1329" w:type="pct"/>
            <w:tcBorders>
              <w:top w:val="single" w:color="auto" w:sz="4" w:space="0"/>
              <w:left w:val="single" w:color="auto" w:sz="4" w:space="0"/>
              <w:right w:val="single" w:color="auto" w:sz="4" w:space="0"/>
            </w:tcBorders>
            <w:noWrap w:val="0"/>
            <w:vAlign w:val="center"/>
          </w:tcPr>
          <w:p>
            <w:pPr>
              <w:pStyle w:val="30"/>
              <w:widowControl w:val="0"/>
              <w:spacing w:line="240" w:lineRule="auto"/>
            </w:pPr>
            <w:r>
              <w:t>8</w:t>
            </w:r>
            <w:r>
              <w:rPr>
                <w:rFonts w:hint="eastAsia"/>
                <w:lang w:val="en-US" w:eastAsia="zh-CN"/>
              </w:rPr>
              <w:t>1</w:t>
            </w:r>
          </w:p>
        </w:tc>
        <w:tc>
          <w:tcPr>
            <w:tcW w:w="1013" w:type="pct"/>
            <w:tcBorders>
              <w:top w:val="single" w:color="auto" w:sz="4" w:space="0"/>
              <w:left w:val="single" w:color="auto" w:sz="4" w:space="0"/>
              <w:right w:val="single" w:color="auto" w:sz="4" w:space="0"/>
            </w:tcBorders>
            <w:noWrap w:val="0"/>
            <w:vAlign w:val="center"/>
          </w:tcPr>
          <w:p>
            <w:pPr>
              <w:pStyle w:val="30"/>
              <w:widowControl w:val="0"/>
              <w:spacing w:line="240" w:lineRule="auto"/>
            </w:pPr>
            <w:r>
              <w:t>100</w:t>
            </w:r>
          </w:p>
        </w:tc>
      </w:tr>
    </w:tbl>
    <w:p>
      <w:pPr>
        <w:adjustRightInd w:val="0"/>
        <w:snapToGrid w:val="0"/>
        <w:spacing w:line="240" w:lineRule="auto"/>
        <w:ind w:firstLine="480"/>
        <w:jc w:val="center"/>
        <w:rPr>
          <w:rFonts w:eastAsia="仿宋"/>
          <w:szCs w:val="24"/>
        </w:rPr>
      </w:pPr>
    </w:p>
    <w:p>
      <w:pPr>
        <w:pStyle w:val="5"/>
        <w:keepNext w:val="0"/>
        <w:keepLines w:val="0"/>
        <w:widowControl w:val="0"/>
        <w:ind w:firstLine="560" w:firstLineChars="200"/>
        <w:rPr>
          <w:rFonts w:hint="eastAsia"/>
        </w:rPr>
      </w:pPr>
      <w:bookmarkStart w:id="42" w:name="_Toc12264"/>
      <w:r>
        <w:rPr>
          <w:rFonts w:hint="eastAsia"/>
        </w:rPr>
        <w:t>3.学位授予</w:t>
      </w:r>
      <w:bookmarkEnd w:id="42"/>
    </w:p>
    <w:p>
      <w:pPr>
        <w:ind w:firstLine="480"/>
        <w:rPr>
          <w:rFonts w:hint="eastAsia"/>
          <w:highlight w:val="none"/>
        </w:rPr>
      </w:pPr>
      <w:r>
        <w:rPr>
          <w:rFonts w:hint="eastAsia"/>
          <w:highlight w:val="none"/>
        </w:rPr>
        <w:t>202</w:t>
      </w:r>
      <w:r>
        <w:rPr>
          <w:rFonts w:hint="eastAsia"/>
          <w:highlight w:val="none"/>
          <w:lang w:eastAsia="zh-CN"/>
        </w:rPr>
        <w:t>3</w:t>
      </w:r>
      <w:r>
        <w:rPr>
          <w:rFonts w:hint="eastAsia"/>
          <w:highlight w:val="none"/>
        </w:rPr>
        <w:t>年，我院毕业</w:t>
      </w:r>
      <w:r>
        <w:rPr>
          <w:rFonts w:hint="eastAsia"/>
          <w:highlight w:val="none"/>
          <w:lang w:eastAsia="zh-CN"/>
        </w:rPr>
        <w:t>硕士</w:t>
      </w:r>
      <w:r>
        <w:rPr>
          <w:rFonts w:hint="eastAsia"/>
          <w:highlight w:val="none"/>
        </w:rPr>
        <w:t>研究生28人，授予</w:t>
      </w:r>
      <w:r>
        <w:rPr>
          <w:rFonts w:hint="eastAsia"/>
          <w:highlight w:val="none"/>
          <w:lang w:eastAsia="zh-CN"/>
        </w:rPr>
        <w:t>硕士</w:t>
      </w:r>
      <w:r>
        <w:rPr>
          <w:rFonts w:hint="eastAsia"/>
          <w:highlight w:val="none"/>
        </w:rPr>
        <w:t>学位28人。其中，授予经济学硕士学位16人，占比57.14%；授予法学硕士学位6人，占比21.43%；授予</w:t>
      </w:r>
      <w:r>
        <w:rPr>
          <w:rFonts w:hint="eastAsia"/>
          <w:highlight w:val="none"/>
          <w:lang w:eastAsia="zh-CN"/>
        </w:rPr>
        <w:t>历史学</w:t>
      </w:r>
      <w:r>
        <w:rPr>
          <w:rFonts w:hint="eastAsia"/>
          <w:highlight w:val="none"/>
        </w:rPr>
        <w:t>硕士学位6人，占比21.43%。具体情况见表4。</w:t>
      </w:r>
    </w:p>
    <w:p>
      <w:pPr>
        <w:pStyle w:val="6"/>
        <w:keepNext w:val="0"/>
        <w:keepLines w:val="0"/>
        <w:spacing w:before="0" w:beforeLines="0" w:after="157" w:afterLines="50" w:line="240" w:lineRule="auto"/>
        <w:rPr>
          <w:rFonts w:hint="default" w:ascii="Times New Roman" w:hAnsi="Times New Roman"/>
          <w:b/>
          <w:bCs w:val="0"/>
        </w:rPr>
      </w:pPr>
      <w:r>
        <w:rPr>
          <w:rFonts w:hint="default" w:ascii="Times New Roman" w:hAnsi="Times New Roman"/>
          <w:b/>
          <w:bCs w:val="0"/>
        </w:rPr>
        <w:t>表</w:t>
      </w:r>
      <w:r>
        <w:rPr>
          <w:rFonts w:hint="default" w:ascii="Times New Roman" w:hAnsi="Times New Roman"/>
          <w:b/>
          <w:bCs w:val="0"/>
        </w:rPr>
        <w:fldChar w:fldCharType="begin"/>
      </w:r>
      <w:r>
        <w:rPr>
          <w:rFonts w:hint="default" w:ascii="Times New Roman" w:hAnsi="Times New Roman"/>
          <w:b/>
          <w:bCs w:val="0"/>
        </w:rPr>
        <w:instrText xml:space="preserve"> SEQ 表 \* ARABIC </w:instrText>
      </w:r>
      <w:r>
        <w:rPr>
          <w:rFonts w:hint="default" w:ascii="Times New Roman" w:hAnsi="Times New Roman"/>
          <w:b/>
          <w:bCs w:val="0"/>
        </w:rPr>
        <w:fldChar w:fldCharType="separate"/>
      </w:r>
      <w:r>
        <w:rPr>
          <w:rFonts w:ascii="Times New Roman" w:hAnsi="Times New Roman"/>
          <w:b/>
          <w:bCs w:val="0"/>
        </w:rPr>
        <w:t>4</w:t>
      </w:r>
      <w:r>
        <w:rPr>
          <w:rFonts w:hint="default" w:ascii="Times New Roman" w:hAnsi="Times New Roman"/>
          <w:b/>
          <w:bCs w:val="0"/>
        </w:rPr>
        <w:fldChar w:fldCharType="end"/>
      </w:r>
      <w:r>
        <w:rPr>
          <w:rFonts w:hint="default" w:ascii="Times New Roman" w:hAnsi="Times New Roman"/>
          <w:b/>
          <w:bCs w:val="0"/>
        </w:rPr>
        <w:t xml:space="preserve">  202</w:t>
      </w:r>
      <w:r>
        <w:rPr>
          <w:rFonts w:hint="eastAsia" w:ascii="Times New Roman" w:hAnsi="Times New Roman"/>
          <w:b/>
          <w:bCs w:val="0"/>
          <w:lang w:eastAsia="zh-CN"/>
        </w:rPr>
        <w:t>3</w:t>
      </w:r>
      <w:r>
        <w:rPr>
          <w:rFonts w:hint="default" w:ascii="Times New Roman" w:hAnsi="Times New Roman"/>
          <w:b/>
          <w:bCs w:val="0"/>
        </w:rPr>
        <w:t>年研究生</w:t>
      </w:r>
      <w:r>
        <w:rPr>
          <w:rFonts w:hint="eastAsia" w:ascii="Times New Roman" w:hAnsi="Times New Roman"/>
          <w:b/>
          <w:bCs w:val="0"/>
          <w:lang w:eastAsia="zh-CN"/>
        </w:rPr>
        <w:t>毕业和</w:t>
      </w:r>
      <w:r>
        <w:rPr>
          <w:rFonts w:hint="default" w:ascii="Times New Roman" w:hAnsi="Times New Roman"/>
          <w:b/>
          <w:bCs w:val="0"/>
        </w:rPr>
        <w:t>学位授予情况</w:t>
      </w:r>
    </w:p>
    <w:tbl>
      <w:tblPr>
        <w:tblStyle w:val="1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2551"/>
        <w:gridCol w:w="2019"/>
        <w:gridCol w:w="2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96" w:type="pct"/>
            <w:noWrap w:val="0"/>
            <w:vAlign w:val="center"/>
          </w:tcPr>
          <w:p>
            <w:pPr>
              <w:pStyle w:val="30"/>
              <w:widowControl w:val="0"/>
              <w:spacing w:line="240" w:lineRule="auto"/>
            </w:pPr>
            <w:r>
              <w:t>一级学科</w:t>
            </w:r>
          </w:p>
        </w:tc>
        <w:tc>
          <w:tcPr>
            <w:tcW w:w="1497" w:type="pct"/>
            <w:noWrap w:val="0"/>
            <w:vAlign w:val="center"/>
          </w:tcPr>
          <w:p>
            <w:pPr>
              <w:pStyle w:val="30"/>
              <w:widowControl w:val="0"/>
              <w:spacing w:line="240" w:lineRule="auto"/>
            </w:pPr>
            <w:r>
              <w:t>二级学科</w:t>
            </w:r>
          </w:p>
        </w:tc>
        <w:tc>
          <w:tcPr>
            <w:tcW w:w="1185" w:type="pct"/>
            <w:noWrap w:val="0"/>
            <w:vAlign w:val="center"/>
          </w:tcPr>
          <w:p>
            <w:pPr>
              <w:pStyle w:val="30"/>
              <w:widowControl w:val="0"/>
              <w:spacing w:line="240" w:lineRule="auto"/>
            </w:pPr>
            <w:r>
              <w:t>毕业生人数（人）</w:t>
            </w:r>
          </w:p>
        </w:tc>
        <w:tc>
          <w:tcPr>
            <w:tcW w:w="1422" w:type="pct"/>
            <w:noWrap w:val="0"/>
            <w:vAlign w:val="center"/>
          </w:tcPr>
          <w:p>
            <w:pPr>
              <w:pStyle w:val="30"/>
              <w:widowControl w:val="0"/>
              <w:spacing w:line="240" w:lineRule="auto"/>
            </w:pPr>
            <w:r>
              <w:t>授予学位人数（人）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pct"/>
            <w:vMerge w:val="restart"/>
            <w:noWrap w:val="0"/>
            <w:vAlign w:val="center"/>
          </w:tcPr>
          <w:p>
            <w:pPr>
              <w:pStyle w:val="30"/>
              <w:widowControl w:val="0"/>
              <w:spacing w:line="240" w:lineRule="auto"/>
            </w:pPr>
            <w:r>
              <w:t>理论经济学</w:t>
            </w:r>
          </w:p>
        </w:tc>
        <w:tc>
          <w:tcPr>
            <w:tcW w:w="1497" w:type="pct"/>
            <w:noWrap w:val="0"/>
            <w:vAlign w:val="center"/>
          </w:tcPr>
          <w:p>
            <w:pPr>
              <w:pStyle w:val="30"/>
              <w:widowControl w:val="0"/>
              <w:spacing w:line="240" w:lineRule="auto"/>
            </w:pPr>
            <w:r>
              <w:t>政治经济学</w:t>
            </w:r>
          </w:p>
        </w:tc>
        <w:tc>
          <w:tcPr>
            <w:tcW w:w="1185" w:type="pct"/>
            <w:noWrap w:val="0"/>
            <w:vAlign w:val="center"/>
          </w:tcPr>
          <w:p>
            <w:pPr>
              <w:pStyle w:val="30"/>
              <w:widowControl w:val="0"/>
              <w:spacing w:line="240" w:lineRule="auto"/>
              <w:rPr>
                <w:rFonts w:hint="default" w:eastAsia="宋体"/>
                <w:lang w:val="en-US" w:eastAsia="zh-CN"/>
              </w:rPr>
            </w:pPr>
            <w:r>
              <w:rPr>
                <w:rFonts w:hint="eastAsia"/>
                <w:lang w:val="en-US" w:eastAsia="zh-CN"/>
              </w:rPr>
              <w:t>1</w:t>
            </w:r>
          </w:p>
        </w:tc>
        <w:tc>
          <w:tcPr>
            <w:tcW w:w="1422" w:type="pct"/>
            <w:noWrap w:val="0"/>
            <w:vAlign w:val="center"/>
          </w:tcPr>
          <w:p>
            <w:pPr>
              <w:pStyle w:val="30"/>
              <w:widowControl w:val="0"/>
              <w:spacing w:line="240" w:lineRule="auto"/>
              <w:rPr>
                <w:rFonts w:hint="eastAsia" w:eastAsia="宋体"/>
                <w:lang w:eastAsia="zh-CN"/>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pct"/>
            <w:vMerge w:val="continue"/>
            <w:noWrap w:val="0"/>
            <w:vAlign w:val="center"/>
          </w:tcPr>
          <w:p>
            <w:pPr>
              <w:pStyle w:val="30"/>
              <w:widowControl w:val="0"/>
              <w:spacing w:line="240" w:lineRule="auto"/>
            </w:pPr>
          </w:p>
        </w:tc>
        <w:tc>
          <w:tcPr>
            <w:tcW w:w="1497" w:type="pct"/>
            <w:noWrap w:val="0"/>
            <w:vAlign w:val="center"/>
          </w:tcPr>
          <w:p>
            <w:pPr>
              <w:pStyle w:val="30"/>
              <w:widowControl w:val="0"/>
              <w:spacing w:line="240" w:lineRule="auto"/>
            </w:pPr>
            <w:r>
              <w:t>西方经济学</w:t>
            </w:r>
          </w:p>
        </w:tc>
        <w:tc>
          <w:tcPr>
            <w:tcW w:w="1185" w:type="pct"/>
            <w:noWrap w:val="0"/>
            <w:vAlign w:val="center"/>
          </w:tcPr>
          <w:p>
            <w:pPr>
              <w:pStyle w:val="30"/>
              <w:widowControl w:val="0"/>
              <w:spacing w:line="240" w:lineRule="auto"/>
              <w:rPr>
                <w:rFonts w:hint="eastAsia" w:eastAsia="宋体"/>
                <w:lang w:eastAsia="zh-CN"/>
              </w:rPr>
            </w:pPr>
            <w:r>
              <w:rPr>
                <w:rFonts w:hint="eastAsia"/>
                <w:lang w:val="en-US" w:eastAsia="zh-CN"/>
              </w:rPr>
              <w:t>3</w:t>
            </w:r>
          </w:p>
        </w:tc>
        <w:tc>
          <w:tcPr>
            <w:tcW w:w="1422" w:type="pct"/>
            <w:noWrap w:val="0"/>
            <w:vAlign w:val="center"/>
          </w:tcPr>
          <w:p>
            <w:pPr>
              <w:pStyle w:val="30"/>
              <w:widowControl w:val="0"/>
              <w:spacing w:line="240" w:lineRule="auto"/>
              <w:rPr>
                <w:rFonts w:hint="eastAsia" w:eastAsia="宋体"/>
                <w:lang w:eastAsia="zh-CN"/>
              </w:rPr>
            </w:pP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pct"/>
            <w:vMerge w:val="continue"/>
            <w:noWrap w:val="0"/>
            <w:vAlign w:val="center"/>
          </w:tcPr>
          <w:p>
            <w:pPr>
              <w:pStyle w:val="30"/>
              <w:widowControl w:val="0"/>
              <w:spacing w:line="240" w:lineRule="auto"/>
            </w:pPr>
          </w:p>
        </w:tc>
        <w:tc>
          <w:tcPr>
            <w:tcW w:w="1497" w:type="pct"/>
            <w:noWrap w:val="0"/>
            <w:vAlign w:val="center"/>
          </w:tcPr>
          <w:p>
            <w:pPr>
              <w:pStyle w:val="30"/>
              <w:widowControl w:val="0"/>
              <w:spacing w:line="240" w:lineRule="auto"/>
            </w:pPr>
            <w:r>
              <w:t>人口、资源与环境经济学</w:t>
            </w:r>
          </w:p>
        </w:tc>
        <w:tc>
          <w:tcPr>
            <w:tcW w:w="1185" w:type="pct"/>
            <w:noWrap w:val="0"/>
            <w:vAlign w:val="center"/>
          </w:tcPr>
          <w:p>
            <w:pPr>
              <w:pStyle w:val="30"/>
              <w:widowControl w:val="0"/>
              <w:spacing w:line="240" w:lineRule="auto"/>
            </w:pPr>
            <w:r>
              <w:rPr>
                <w:rFonts w:hint="eastAsia"/>
              </w:rPr>
              <w:t>2</w:t>
            </w:r>
          </w:p>
        </w:tc>
        <w:tc>
          <w:tcPr>
            <w:tcW w:w="1422" w:type="pct"/>
            <w:noWrap w:val="0"/>
            <w:vAlign w:val="center"/>
          </w:tcPr>
          <w:p>
            <w:pPr>
              <w:pStyle w:val="30"/>
              <w:widowControl w:val="0"/>
              <w:spacing w:line="240" w:lineRule="auto"/>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pct"/>
            <w:vMerge w:val="restart"/>
            <w:noWrap w:val="0"/>
            <w:vAlign w:val="center"/>
          </w:tcPr>
          <w:p>
            <w:pPr>
              <w:pStyle w:val="30"/>
              <w:widowControl w:val="0"/>
              <w:spacing w:line="240" w:lineRule="auto"/>
            </w:pPr>
            <w:r>
              <w:t>应用经济学</w:t>
            </w:r>
          </w:p>
        </w:tc>
        <w:tc>
          <w:tcPr>
            <w:tcW w:w="1497" w:type="pct"/>
            <w:noWrap w:val="0"/>
            <w:vAlign w:val="center"/>
          </w:tcPr>
          <w:p>
            <w:pPr>
              <w:pStyle w:val="30"/>
              <w:widowControl w:val="0"/>
              <w:spacing w:line="240" w:lineRule="auto"/>
            </w:pPr>
            <w:r>
              <w:t>区域经济学</w:t>
            </w:r>
          </w:p>
        </w:tc>
        <w:tc>
          <w:tcPr>
            <w:tcW w:w="1185" w:type="pct"/>
            <w:noWrap w:val="0"/>
            <w:vAlign w:val="center"/>
          </w:tcPr>
          <w:p>
            <w:pPr>
              <w:pStyle w:val="30"/>
              <w:widowControl w:val="0"/>
              <w:spacing w:line="240" w:lineRule="auto"/>
            </w:pPr>
            <w:r>
              <w:rPr>
                <w:rFonts w:hint="eastAsia"/>
              </w:rPr>
              <w:t>1</w:t>
            </w:r>
          </w:p>
        </w:tc>
        <w:tc>
          <w:tcPr>
            <w:tcW w:w="1422" w:type="pct"/>
            <w:noWrap w:val="0"/>
            <w:vAlign w:val="center"/>
          </w:tcPr>
          <w:p>
            <w:pPr>
              <w:pStyle w:val="30"/>
              <w:widowControl w:val="0"/>
              <w:spacing w:line="240" w:lineRule="auto"/>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pct"/>
            <w:vMerge w:val="continue"/>
            <w:noWrap w:val="0"/>
            <w:vAlign w:val="center"/>
          </w:tcPr>
          <w:p>
            <w:pPr>
              <w:pStyle w:val="30"/>
              <w:widowControl w:val="0"/>
              <w:spacing w:line="240" w:lineRule="auto"/>
            </w:pPr>
          </w:p>
        </w:tc>
        <w:tc>
          <w:tcPr>
            <w:tcW w:w="1497" w:type="pct"/>
            <w:noWrap w:val="0"/>
            <w:vAlign w:val="center"/>
          </w:tcPr>
          <w:p>
            <w:pPr>
              <w:pStyle w:val="30"/>
              <w:widowControl w:val="0"/>
              <w:spacing w:line="240" w:lineRule="auto"/>
            </w:pPr>
            <w:r>
              <w:t>产业经济学</w:t>
            </w:r>
          </w:p>
        </w:tc>
        <w:tc>
          <w:tcPr>
            <w:tcW w:w="1185" w:type="pct"/>
            <w:noWrap w:val="0"/>
            <w:vAlign w:val="center"/>
          </w:tcPr>
          <w:p>
            <w:pPr>
              <w:pStyle w:val="30"/>
              <w:widowControl w:val="0"/>
              <w:spacing w:line="240" w:lineRule="auto"/>
            </w:pPr>
            <w:r>
              <w:rPr>
                <w:rFonts w:hint="eastAsia"/>
              </w:rPr>
              <w:t>5</w:t>
            </w:r>
          </w:p>
        </w:tc>
        <w:tc>
          <w:tcPr>
            <w:tcW w:w="1422" w:type="pct"/>
            <w:noWrap w:val="0"/>
            <w:vAlign w:val="center"/>
          </w:tcPr>
          <w:p>
            <w:pPr>
              <w:pStyle w:val="30"/>
              <w:widowControl w:val="0"/>
              <w:spacing w:line="240" w:lineRule="auto"/>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pct"/>
            <w:vMerge w:val="continue"/>
            <w:noWrap w:val="0"/>
            <w:vAlign w:val="center"/>
          </w:tcPr>
          <w:p>
            <w:pPr>
              <w:pStyle w:val="30"/>
              <w:widowControl w:val="0"/>
              <w:spacing w:line="240" w:lineRule="auto"/>
            </w:pPr>
          </w:p>
        </w:tc>
        <w:tc>
          <w:tcPr>
            <w:tcW w:w="1497" w:type="pct"/>
            <w:noWrap w:val="0"/>
            <w:vAlign w:val="center"/>
          </w:tcPr>
          <w:p>
            <w:pPr>
              <w:pStyle w:val="30"/>
              <w:widowControl w:val="0"/>
              <w:spacing w:line="240" w:lineRule="auto"/>
            </w:pPr>
            <w:r>
              <w:t>金融学</w:t>
            </w:r>
          </w:p>
        </w:tc>
        <w:tc>
          <w:tcPr>
            <w:tcW w:w="1185" w:type="pct"/>
            <w:noWrap w:val="0"/>
            <w:vAlign w:val="center"/>
          </w:tcPr>
          <w:p>
            <w:pPr>
              <w:pStyle w:val="30"/>
              <w:widowControl w:val="0"/>
              <w:spacing w:line="240" w:lineRule="auto"/>
            </w:pPr>
            <w:r>
              <w:rPr>
                <w:rFonts w:hint="eastAsia"/>
              </w:rPr>
              <w:t>2</w:t>
            </w:r>
          </w:p>
        </w:tc>
        <w:tc>
          <w:tcPr>
            <w:tcW w:w="1422" w:type="pct"/>
            <w:noWrap w:val="0"/>
            <w:vAlign w:val="center"/>
          </w:tcPr>
          <w:p>
            <w:pPr>
              <w:pStyle w:val="30"/>
              <w:widowControl w:val="0"/>
              <w:spacing w:line="240" w:lineRule="auto"/>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pct"/>
            <w:vMerge w:val="continue"/>
            <w:noWrap w:val="0"/>
            <w:vAlign w:val="center"/>
          </w:tcPr>
          <w:p>
            <w:pPr>
              <w:pStyle w:val="30"/>
              <w:widowControl w:val="0"/>
              <w:spacing w:line="240" w:lineRule="auto"/>
            </w:pPr>
          </w:p>
        </w:tc>
        <w:tc>
          <w:tcPr>
            <w:tcW w:w="1497" w:type="pct"/>
            <w:noWrap w:val="0"/>
            <w:vAlign w:val="center"/>
          </w:tcPr>
          <w:p>
            <w:pPr>
              <w:pStyle w:val="30"/>
              <w:widowControl w:val="0"/>
              <w:spacing w:line="240" w:lineRule="auto"/>
            </w:pPr>
            <w:r>
              <w:t>国际贸易学</w:t>
            </w:r>
          </w:p>
        </w:tc>
        <w:tc>
          <w:tcPr>
            <w:tcW w:w="1185" w:type="pct"/>
            <w:noWrap w:val="0"/>
            <w:vAlign w:val="center"/>
          </w:tcPr>
          <w:p>
            <w:pPr>
              <w:pStyle w:val="30"/>
              <w:widowControl w:val="0"/>
              <w:spacing w:line="240" w:lineRule="auto"/>
            </w:pPr>
            <w:r>
              <w:t>2</w:t>
            </w:r>
          </w:p>
        </w:tc>
        <w:tc>
          <w:tcPr>
            <w:tcW w:w="1422" w:type="pct"/>
            <w:noWrap w:val="0"/>
            <w:vAlign w:val="center"/>
          </w:tcPr>
          <w:p>
            <w:pPr>
              <w:pStyle w:val="30"/>
              <w:widowControl w:val="0"/>
              <w:spacing w:line="240" w:lineRule="auto"/>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pct"/>
            <w:vMerge w:val="restart"/>
            <w:noWrap w:val="0"/>
            <w:vAlign w:val="center"/>
          </w:tcPr>
          <w:p>
            <w:pPr>
              <w:pStyle w:val="30"/>
              <w:widowControl w:val="0"/>
              <w:spacing w:line="240" w:lineRule="auto"/>
            </w:pPr>
            <w:r>
              <w:t>社会学</w:t>
            </w:r>
          </w:p>
        </w:tc>
        <w:tc>
          <w:tcPr>
            <w:tcW w:w="1497" w:type="pct"/>
            <w:noWrap w:val="0"/>
            <w:vAlign w:val="center"/>
          </w:tcPr>
          <w:p>
            <w:pPr>
              <w:pStyle w:val="30"/>
              <w:widowControl w:val="0"/>
              <w:spacing w:line="240" w:lineRule="auto"/>
            </w:pPr>
            <w:r>
              <w:t>社会学</w:t>
            </w:r>
          </w:p>
        </w:tc>
        <w:tc>
          <w:tcPr>
            <w:tcW w:w="1185" w:type="pct"/>
            <w:noWrap w:val="0"/>
            <w:vAlign w:val="center"/>
          </w:tcPr>
          <w:p>
            <w:pPr>
              <w:pStyle w:val="30"/>
              <w:widowControl w:val="0"/>
              <w:spacing w:line="240" w:lineRule="auto"/>
              <w:rPr>
                <w:rFonts w:hint="eastAsia" w:eastAsia="宋体"/>
                <w:lang w:eastAsia="zh-CN"/>
              </w:rPr>
            </w:pPr>
            <w:r>
              <w:rPr>
                <w:rFonts w:hint="eastAsia"/>
                <w:lang w:val="en-US" w:eastAsia="zh-CN"/>
              </w:rPr>
              <w:t>3</w:t>
            </w:r>
          </w:p>
        </w:tc>
        <w:tc>
          <w:tcPr>
            <w:tcW w:w="1422" w:type="pct"/>
            <w:noWrap w:val="0"/>
            <w:vAlign w:val="center"/>
          </w:tcPr>
          <w:p>
            <w:pPr>
              <w:pStyle w:val="30"/>
              <w:widowControl w:val="0"/>
              <w:spacing w:line="240" w:lineRule="auto"/>
              <w:rPr>
                <w:rFonts w:hint="eastAsia" w:eastAsia="宋体"/>
                <w:lang w:eastAsia="zh-CN"/>
              </w:rPr>
            </w:pP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pct"/>
            <w:vMerge w:val="continue"/>
            <w:noWrap w:val="0"/>
            <w:vAlign w:val="center"/>
          </w:tcPr>
          <w:p>
            <w:pPr>
              <w:pStyle w:val="30"/>
              <w:widowControl w:val="0"/>
              <w:spacing w:line="240" w:lineRule="auto"/>
            </w:pPr>
          </w:p>
        </w:tc>
        <w:tc>
          <w:tcPr>
            <w:tcW w:w="1497" w:type="pct"/>
            <w:noWrap w:val="0"/>
            <w:vAlign w:val="center"/>
          </w:tcPr>
          <w:p>
            <w:pPr>
              <w:pStyle w:val="30"/>
              <w:widowControl w:val="0"/>
              <w:spacing w:line="240" w:lineRule="auto"/>
            </w:pPr>
            <w:r>
              <w:t>人口学</w:t>
            </w:r>
          </w:p>
        </w:tc>
        <w:tc>
          <w:tcPr>
            <w:tcW w:w="1185" w:type="pct"/>
            <w:noWrap w:val="0"/>
            <w:vAlign w:val="center"/>
          </w:tcPr>
          <w:p>
            <w:pPr>
              <w:pStyle w:val="30"/>
              <w:widowControl w:val="0"/>
              <w:spacing w:line="240" w:lineRule="auto"/>
              <w:rPr>
                <w:rFonts w:hint="eastAsia" w:eastAsia="宋体"/>
                <w:lang w:eastAsia="zh-CN"/>
              </w:rPr>
            </w:pPr>
            <w:r>
              <w:rPr>
                <w:rFonts w:hint="eastAsia"/>
                <w:lang w:val="en-US" w:eastAsia="zh-CN"/>
              </w:rPr>
              <w:t>2</w:t>
            </w:r>
          </w:p>
        </w:tc>
        <w:tc>
          <w:tcPr>
            <w:tcW w:w="1422" w:type="pct"/>
            <w:noWrap w:val="0"/>
            <w:vAlign w:val="center"/>
          </w:tcPr>
          <w:p>
            <w:pPr>
              <w:pStyle w:val="30"/>
              <w:widowControl w:val="0"/>
              <w:spacing w:line="240" w:lineRule="auto"/>
              <w:rPr>
                <w:rFonts w:hint="eastAsia" w:eastAsia="宋体"/>
                <w:lang w:eastAsia="zh-CN"/>
              </w:rPr>
            </w:pPr>
            <w:r>
              <w:rPr>
                <w:rFonts w:hint="eastAsia"/>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pct"/>
            <w:vMerge w:val="continue"/>
            <w:noWrap w:val="0"/>
            <w:vAlign w:val="center"/>
          </w:tcPr>
          <w:p>
            <w:pPr>
              <w:pStyle w:val="30"/>
              <w:widowControl w:val="0"/>
              <w:spacing w:line="240" w:lineRule="auto"/>
            </w:pPr>
          </w:p>
        </w:tc>
        <w:tc>
          <w:tcPr>
            <w:tcW w:w="1497" w:type="pct"/>
            <w:noWrap w:val="0"/>
            <w:vAlign w:val="center"/>
          </w:tcPr>
          <w:p>
            <w:pPr>
              <w:pStyle w:val="30"/>
              <w:widowControl w:val="0"/>
              <w:spacing w:line="240" w:lineRule="auto"/>
            </w:pPr>
            <w:r>
              <w:t>民俗学</w:t>
            </w:r>
          </w:p>
        </w:tc>
        <w:tc>
          <w:tcPr>
            <w:tcW w:w="1185" w:type="pct"/>
            <w:noWrap w:val="0"/>
            <w:vAlign w:val="center"/>
          </w:tcPr>
          <w:p>
            <w:pPr>
              <w:pStyle w:val="30"/>
              <w:widowControl w:val="0"/>
              <w:spacing w:line="240" w:lineRule="auto"/>
            </w:pPr>
            <w:r>
              <w:t>1</w:t>
            </w:r>
          </w:p>
        </w:tc>
        <w:tc>
          <w:tcPr>
            <w:tcW w:w="1422" w:type="pct"/>
            <w:noWrap w:val="0"/>
            <w:vAlign w:val="center"/>
          </w:tcPr>
          <w:p>
            <w:pPr>
              <w:pStyle w:val="30"/>
              <w:widowControl w:val="0"/>
              <w:spacing w:line="240" w:lineRule="auto"/>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pct"/>
            <w:vMerge w:val="restart"/>
            <w:noWrap w:val="0"/>
            <w:vAlign w:val="center"/>
          </w:tcPr>
          <w:p>
            <w:pPr>
              <w:pStyle w:val="30"/>
              <w:widowControl w:val="0"/>
              <w:spacing w:line="240" w:lineRule="auto"/>
            </w:pPr>
            <w:r>
              <w:t>中国史</w:t>
            </w:r>
          </w:p>
        </w:tc>
        <w:tc>
          <w:tcPr>
            <w:tcW w:w="1497" w:type="pct"/>
            <w:noWrap w:val="0"/>
            <w:vAlign w:val="center"/>
          </w:tcPr>
          <w:p>
            <w:pPr>
              <w:pStyle w:val="30"/>
              <w:widowControl w:val="0"/>
              <w:spacing w:line="240" w:lineRule="auto"/>
            </w:pPr>
            <w:r>
              <w:t>专门史</w:t>
            </w:r>
          </w:p>
        </w:tc>
        <w:tc>
          <w:tcPr>
            <w:tcW w:w="1185" w:type="pct"/>
            <w:noWrap w:val="0"/>
            <w:vAlign w:val="center"/>
          </w:tcPr>
          <w:p>
            <w:pPr>
              <w:pStyle w:val="30"/>
              <w:widowControl w:val="0"/>
              <w:spacing w:line="240" w:lineRule="auto"/>
            </w:pPr>
            <w:r>
              <w:rPr>
                <w:rFonts w:hint="eastAsia"/>
              </w:rPr>
              <w:t>2</w:t>
            </w:r>
          </w:p>
        </w:tc>
        <w:tc>
          <w:tcPr>
            <w:tcW w:w="1422" w:type="pct"/>
            <w:noWrap w:val="0"/>
            <w:vAlign w:val="center"/>
          </w:tcPr>
          <w:p>
            <w:pPr>
              <w:pStyle w:val="30"/>
              <w:widowControl w:val="0"/>
              <w:spacing w:line="240" w:lineRule="auto"/>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pct"/>
            <w:vMerge w:val="continue"/>
            <w:noWrap w:val="0"/>
            <w:vAlign w:val="center"/>
          </w:tcPr>
          <w:p>
            <w:pPr>
              <w:pStyle w:val="30"/>
              <w:widowControl w:val="0"/>
              <w:spacing w:line="240" w:lineRule="auto"/>
            </w:pPr>
          </w:p>
        </w:tc>
        <w:tc>
          <w:tcPr>
            <w:tcW w:w="1497" w:type="pct"/>
            <w:noWrap w:val="0"/>
            <w:vAlign w:val="center"/>
          </w:tcPr>
          <w:p>
            <w:pPr>
              <w:pStyle w:val="30"/>
              <w:widowControl w:val="0"/>
              <w:spacing w:line="240" w:lineRule="auto"/>
            </w:pPr>
            <w:r>
              <w:t>中国古代史</w:t>
            </w:r>
          </w:p>
        </w:tc>
        <w:tc>
          <w:tcPr>
            <w:tcW w:w="1185" w:type="pct"/>
            <w:noWrap w:val="0"/>
            <w:vAlign w:val="center"/>
          </w:tcPr>
          <w:p>
            <w:pPr>
              <w:pStyle w:val="30"/>
              <w:widowControl w:val="0"/>
              <w:spacing w:line="240" w:lineRule="auto"/>
            </w:pPr>
            <w:r>
              <w:t>2</w:t>
            </w:r>
          </w:p>
        </w:tc>
        <w:tc>
          <w:tcPr>
            <w:tcW w:w="1422" w:type="pct"/>
            <w:noWrap w:val="0"/>
            <w:vAlign w:val="center"/>
          </w:tcPr>
          <w:p>
            <w:pPr>
              <w:pStyle w:val="30"/>
              <w:widowControl w:val="0"/>
              <w:spacing w:line="240" w:lineRule="auto"/>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pct"/>
            <w:vMerge w:val="continue"/>
            <w:noWrap w:val="0"/>
            <w:vAlign w:val="center"/>
          </w:tcPr>
          <w:p>
            <w:pPr>
              <w:pStyle w:val="30"/>
              <w:widowControl w:val="0"/>
              <w:spacing w:line="240" w:lineRule="auto"/>
            </w:pPr>
          </w:p>
        </w:tc>
        <w:tc>
          <w:tcPr>
            <w:tcW w:w="1497" w:type="pct"/>
            <w:noWrap w:val="0"/>
            <w:vAlign w:val="center"/>
          </w:tcPr>
          <w:p>
            <w:pPr>
              <w:pStyle w:val="30"/>
              <w:widowControl w:val="0"/>
              <w:spacing w:line="240" w:lineRule="auto"/>
            </w:pPr>
            <w:r>
              <w:t>中国近现代史</w:t>
            </w:r>
          </w:p>
        </w:tc>
        <w:tc>
          <w:tcPr>
            <w:tcW w:w="1185" w:type="pct"/>
            <w:noWrap w:val="0"/>
            <w:vAlign w:val="center"/>
          </w:tcPr>
          <w:p>
            <w:pPr>
              <w:pStyle w:val="30"/>
              <w:widowControl w:val="0"/>
              <w:spacing w:line="240" w:lineRule="auto"/>
            </w:pPr>
            <w:r>
              <w:t>2</w:t>
            </w:r>
          </w:p>
        </w:tc>
        <w:tc>
          <w:tcPr>
            <w:tcW w:w="1422" w:type="pct"/>
            <w:noWrap w:val="0"/>
            <w:vAlign w:val="center"/>
          </w:tcPr>
          <w:p>
            <w:pPr>
              <w:pStyle w:val="30"/>
              <w:widowControl w:val="0"/>
              <w:spacing w:line="240" w:lineRule="auto"/>
            </w:pPr>
            <w:r>
              <w:t>2</w:t>
            </w:r>
          </w:p>
        </w:tc>
      </w:tr>
    </w:tbl>
    <w:p>
      <w:pPr>
        <w:pStyle w:val="5"/>
        <w:keepNext w:val="0"/>
        <w:keepLines w:val="0"/>
        <w:widowControl w:val="0"/>
        <w:spacing w:before="157" w:beforeLines="50"/>
        <w:ind w:firstLine="560" w:firstLineChars="200"/>
        <w:rPr>
          <w:rFonts w:hint="eastAsia"/>
        </w:rPr>
      </w:pPr>
      <w:bookmarkStart w:id="43" w:name="_Toc9059"/>
      <w:r>
        <w:rPr>
          <w:rFonts w:hint="eastAsia"/>
        </w:rPr>
        <w:t>4.就业发展</w:t>
      </w:r>
      <w:bookmarkEnd w:id="43"/>
    </w:p>
    <w:p>
      <w:pPr>
        <w:ind w:firstLine="480"/>
        <w:rPr>
          <w:rFonts w:hint="eastAsia"/>
          <w:highlight w:val="none"/>
        </w:rPr>
      </w:pPr>
      <w:r>
        <w:rPr>
          <w:rFonts w:hint="eastAsia"/>
        </w:rPr>
        <w:t>得益</w:t>
      </w:r>
      <w:r>
        <w:rPr>
          <w:rFonts w:hint="eastAsia"/>
          <w:lang w:eastAsia="zh-CN"/>
        </w:rPr>
        <w:t>于“四位一体”</w:t>
      </w:r>
      <w:r>
        <w:rPr>
          <w:rFonts w:hint="eastAsia"/>
        </w:rPr>
        <w:t>的研究生培养模式，我院毕业的研究生具有较好的理论基础和实践能力，上手较快、执行能力较强，符合当前社会对应用型和复合型人才的要求。2023年，</w:t>
      </w:r>
      <w:r>
        <w:rPr>
          <w:rFonts w:hint="eastAsia"/>
          <w:highlight w:val="none"/>
        </w:rPr>
        <w:t>研究生就业率</w:t>
      </w:r>
      <w:r>
        <w:rPr>
          <w:rFonts w:hint="eastAsia"/>
          <w:highlight w:val="none"/>
          <w:lang w:eastAsia="zh-CN"/>
        </w:rPr>
        <w:t>为8</w:t>
      </w:r>
      <w:r>
        <w:rPr>
          <w:rFonts w:hint="eastAsia"/>
          <w:highlight w:val="none"/>
          <w:lang w:val="en-US" w:eastAsia="zh-CN"/>
        </w:rPr>
        <w:t>5.72</w:t>
      </w:r>
      <w:r>
        <w:rPr>
          <w:rFonts w:hint="eastAsia"/>
          <w:highlight w:val="none"/>
        </w:rPr>
        <w:t>%</w:t>
      </w:r>
      <w:r>
        <w:rPr>
          <w:rFonts w:hint="eastAsia"/>
          <w:highlight w:val="none"/>
          <w:lang w:eastAsia="zh-CN"/>
        </w:rPr>
        <w:t>，</w:t>
      </w:r>
      <w:r>
        <w:rPr>
          <w:rFonts w:hint="eastAsia"/>
          <w:highlight w:val="none"/>
        </w:rPr>
        <w:t>升</w:t>
      </w:r>
      <w:r>
        <w:rPr>
          <w:rFonts w:hint="eastAsia"/>
          <w:highlight w:val="none"/>
          <w:lang w:val="en-US" w:eastAsia="zh-CN"/>
        </w:rPr>
        <w:t>博</w:t>
      </w:r>
      <w:r>
        <w:rPr>
          <w:rFonts w:hint="eastAsia"/>
          <w:highlight w:val="none"/>
        </w:rPr>
        <w:t>率</w:t>
      </w:r>
      <w:r>
        <w:rPr>
          <w:rFonts w:hint="eastAsia"/>
          <w:highlight w:val="none"/>
          <w:lang w:eastAsia="zh-CN"/>
        </w:rPr>
        <w:t>为1</w:t>
      </w:r>
      <w:r>
        <w:rPr>
          <w:rFonts w:hint="eastAsia"/>
          <w:highlight w:val="none"/>
          <w:lang w:val="en-US" w:eastAsia="zh-CN"/>
        </w:rPr>
        <w:t>4.29</w:t>
      </w:r>
      <w:r>
        <w:rPr>
          <w:rFonts w:hint="eastAsia"/>
          <w:highlight w:val="none"/>
        </w:rPr>
        <w:t>%。就业去向良好，</w:t>
      </w:r>
      <w:r>
        <w:rPr>
          <w:rFonts w:hint="eastAsia"/>
          <w:highlight w:val="none"/>
          <w:lang w:eastAsia="zh-CN"/>
        </w:rPr>
        <w:t>1</w:t>
      </w:r>
      <w:r>
        <w:rPr>
          <w:rFonts w:hint="eastAsia"/>
          <w:highlight w:val="none"/>
          <w:lang w:val="en-US" w:eastAsia="zh-CN"/>
        </w:rPr>
        <w:t>0</w:t>
      </w:r>
      <w:r>
        <w:rPr>
          <w:rFonts w:hint="eastAsia"/>
          <w:highlight w:val="none"/>
        </w:rPr>
        <w:t>%就职于省内外党政机关，</w:t>
      </w:r>
      <w:r>
        <w:rPr>
          <w:rFonts w:hint="eastAsia"/>
          <w:highlight w:val="none"/>
          <w:lang w:eastAsia="zh-CN"/>
        </w:rPr>
        <w:t>2</w:t>
      </w:r>
      <w:r>
        <w:rPr>
          <w:rFonts w:hint="eastAsia"/>
          <w:highlight w:val="none"/>
          <w:lang w:val="en-US" w:eastAsia="zh-CN"/>
        </w:rPr>
        <w:t>0</w:t>
      </w:r>
      <w:r>
        <w:rPr>
          <w:rFonts w:hint="eastAsia"/>
          <w:highlight w:val="none"/>
        </w:rPr>
        <w:t>%就职于事业单位，</w:t>
      </w:r>
      <w:r>
        <w:rPr>
          <w:rFonts w:hint="eastAsia"/>
          <w:highlight w:val="none"/>
          <w:lang w:eastAsia="zh-CN"/>
        </w:rPr>
        <w:t>5</w:t>
      </w:r>
      <w:r>
        <w:rPr>
          <w:rFonts w:hint="eastAsia"/>
          <w:highlight w:val="none"/>
        </w:rPr>
        <w:t>%就职于高等院校，</w:t>
      </w:r>
      <w:r>
        <w:rPr>
          <w:rFonts w:hint="eastAsia"/>
          <w:highlight w:val="none"/>
          <w:lang w:eastAsia="zh-CN"/>
        </w:rPr>
        <w:t>2</w:t>
      </w:r>
      <w:r>
        <w:rPr>
          <w:rFonts w:hint="eastAsia"/>
          <w:highlight w:val="none"/>
          <w:lang w:val="en-US" w:eastAsia="zh-CN"/>
        </w:rPr>
        <w:t>0</w:t>
      </w:r>
      <w:r>
        <w:rPr>
          <w:rFonts w:hint="eastAsia"/>
          <w:highlight w:val="none"/>
        </w:rPr>
        <w:t>%就职于</w:t>
      </w:r>
      <w:r>
        <w:rPr>
          <w:rFonts w:hint="eastAsia"/>
          <w:highlight w:val="none"/>
          <w:lang w:val="en-US" w:eastAsia="zh-CN"/>
        </w:rPr>
        <w:t>国有企业</w:t>
      </w:r>
      <w:r>
        <w:rPr>
          <w:rFonts w:hint="eastAsia"/>
          <w:highlight w:val="none"/>
        </w:rPr>
        <w:t>。各学科方向研究生就业情况见表5。</w:t>
      </w:r>
    </w:p>
    <w:p>
      <w:pPr>
        <w:pStyle w:val="6"/>
        <w:keepNext w:val="0"/>
        <w:keepLines w:val="0"/>
        <w:spacing w:before="63" w:beforeLines="20" w:after="157" w:afterLines="50" w:line="240" w:lineRule="auto"/>
        <w:rPr>
          <w:rFonts w:hint="default" w:ascii="Times New Roman" w:hAnsi="Times New Roman"/>
          <w:b/>
          <w:bCs w:val="0"/>
        </w:rPr>
      </w:pPr>
      <w:bookmarkStart w:id="44" w:name="_Toc2287"/>
      <w:r>
        <w:rPr>
          <w:rFonts w:hint="default" w:ascii="Times New Roman" w:hAnsi="Times New Roman"/>
          <w:b/>
          <w:bCs w:val="0"/>
        </w:rPr>
        <w:t>表</w:t>
      </w:r>
      <w:r>
        <w:rPr>
          <w:rFonts w:hint="default" w:ascii="Times New Roman" w:hAnsi="Times New Roman"/>
          <w:b/>
          <w:bCs w:val="0"/>
        </w:rPr>
        <w:fldChar w:fldCharType="begin"/>
      </w:r>
      <w:r>
        <w:rPr>
          <w:rFonts w:hint="default" w:ascii="Times New Roman" w:hAnsi="Times New Roman"/>
          <w:b/>
          <w:bCs w:val="0"/>
        </w:rPr>
        <w:instrText xml:space="preserve"> SEQ 表 \* ARABIC </w:instrText>
      </w:r>
      <w:r>
        <w:rPr>
          <w:rFonts w:hint="default" w:ascii="Times New Roman" w:hAnsi="Times New Roman"/>
          <w:b/>
          <w:bCs w:val="0"/>
        </w:rPr>
        <w:fldChar w:fldCharType="separate"/>
      </w:r>
      <w:r>
        <w:rPr>
          <w:rFonts w:ascii="Times New Roman" w:hAnsi="Times New Roman"/>
          <w:b/>
          <w:bCs w:val="0"/>
        </w:rPr>
        <w:t>5</w:t>
      </w:r>
      <w:r>
        <w:rPr>
          <w:rFonts w:hint="default" w:ascii="Times New Roman" w:hAnsi="Times New Roman"/>
          <w:b/>
          <w:bCs w:val="0"/>
        </w:rPr>
        <w:fldChar w:fldCharType="end"/>
      </w:r>
      <w:r>
        <w:rPr>
          <w:rFonts w:hint="default" w:ascii="Times New Roman" w:hAnsi="Times New Roman"/>
          <w:b/>
          <w:bCs w:val="0"/>
        </w:rPr>
        <w:t xml:space="preserve">  202</w:t>
      </w:r>
      <w:r>
        <w:rPr>
          <w:rFonts w:hint="eastAsia" w:ascii="Times New Roman" w:hAnsi="Times New Roman"/>
          <w:b/>
          <w:bCs w:val="0"/>
          <w:lang w:eastAsia="zh-CN"/>
        </w:rPr>
        <w:t>3</w:t>
      </w:r>
      <w:r>
        <w:rPr>
          <w:rFonts w:hint="default" w:ascii="Times New Roman" w:hAnsi="Times New Roman"/>
          <w:b/>
          <w:bCs w:val="0"/>
        </w:rPr>
        <w:t>届研究生就业信息</w:t>
      </w:r>
      <w:bookmarkEnd w:id="44"/>
    </w:p>
    <w:tbl>
      <w:tblPr>
        <w:tblStyle w:val="14"/>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615"/>
        <w:gridCol w:w="640"/>
        <w:gridCol w:w="702"/>
        <w:gridCol w:w="717"/>
        <w:gridCol w:w="1060"/>
        <w:gridCol w:w="940"/>
        <w:gridCol w:w="891"/>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1" w:type="pct"/>
            <w:noWrap w:val="0"/>
            <w:vAlign w:val="center"/>
          </w:tcPr>
          <w:p>
            <w:pPr>
              <w:pStyle w:val="30"/>
              <w:widowControl w:val="0"/>
              <w:spacing w:line="240" w:lineRule="auto"/>
            </w:pPr>
            <w:r>
              <w:t>一级</w:t>
            </w:r>
          </w:p>
          <w:p>
            <w:pPr>
              <w:pStyle w:val="30"/>
              <w:widowControl w:val="0"/>
              <w:spacing w:line="240" w:lineRule="auto"/>
            </w:pPr>
            <w:r>
              <w:t>学科</w:t>
            </w:r>
          </w:p>
        </w:tc>
        <w:tc>
          <w:tcPr>
            <w:tcW w:w="948" w:type="pct"/>
            <w:noWrap w:val="0"/>
            <w:vAlign w:val="center"/>
          </w:tcPr>
          <w:p>
            <w:pPr>
              <w:pStyle w:val="30"/>
              <w:widowControl w:val="0"/>
              <w:spacing w:line="240" w:lineRule="auto"/>
            </w:pPr>
            <w:r>
              <w:t>二级</w:t>
            </w:r>
            <w:r>
              <w:rPr>
                <w:rFonts w:hint="eastAsia"/>
                <w:lang w:val="en-US" w:eastAsia="zh-CN"/>
              </w:rPr>
              <w:t xml:space="preserve">         </w:t>
            </w:r>
            <w:r>
              <w:t>学科</w:t>
            </w:r>
          </w:p>
        </w:tc>
        <w:tc>
          <w:tcPr>
            <w:tcW w:w="375" w:type="pct"/>
            <w:noWrap w:val="0"/>
            <w:vAlign w:val="center"/>
          </w:tcPr>
          <w:p>
            <w:pPr>
              <w:pStyle w:val="30"/>
              <w:widowControl w:val="0"/>
              <w:spacing w:line="240" w:lineRule="auto"/>
            </w:pPr>
            <w:r>
              <w:t>学生人数</w:t>
            </w:r>
          </w:p>
        </w:tc>
        <w:tc>
          <w:tcPr>
            <w:tcW w:w="412" w:type="pct"/>
            <w:noWrap w:val="0"/>
            <w:vAlign w:val="center"/>
          </w:tcPr>
          <w:p>
            <w:pPr>
              <w:pStyle w:val="30"/>
              <w:widowControl w:val="0"/>
              <w:spacing w:line="240" w:lineRule="auto"/>
            </w:pPr>
            <w:r>
              <w:t>就业人数</w:t>
            </w:r>
          </w:p>
        </w:tc>
        <w:tc>
          <w:tcPr>
            <w:tcW w:w="420" w:type="pct"/>
            <w:noWrap w:val="0"/>
            <w:vAlign w:val="center"/>
          </w:tcPr>
          <w:p>
            <w:pPr>
              <w:pStyle w:val="30"/>
              <w:widowControl w:val="0"/>
              <w:spacing w:line="240" w:lineRule="auto"/>
            </w:pPr>
            <w:r>
              <w:t>升学人数</w:t>
            </w:r>
          </w:p>
        </w:tc>
        <w:tc>
          <w:tcPr>
            <w:tcW w:w="622" w:type="pct"/>
            <w:noWrap w:val="0"/>
            <w:vAlign w:val="center"/>
          </w:tcPr>
          <w:p>
            <w:pPr>
              <w:pStyle w:val="30"/>
              <w:widowControl w:val="0"/>
              <w:spacing w:line="240" w:lineRule="auto"/>
            </w:pPr>
            <w:r>
              <w:t>待就业</w:t>
            </w:r>
            <w:r>
              <w:rPr>
                <w:rFonts w:hint="eastAsia"/>
                <w:lang w:val="en-US" w:eastAsia="zh-CN"/>
              </w:rPr>
              <w:t xml:space="preserve">  </w:t>
            </w:r>
            <w:r>
              <w:t>人数</w:t>
            </w:r>
          </w:p>
        </w:tc>
        <w:tc>
          <w:tcPr>
            <w:tcW w:w="551" w:type="pct"/>
            <w:noWrap w:val="0"/>
            <w:vAlign w:val="center"/>
          </w:tcPr>
          <w:p>
            <w:pPr>
              <w:pStyle w:val="30"/>
              <w:widowControl w:val="0"/>
              <w:spacing w:line="240" w:lineRule="auto"/>
            </w:pPr>
            <w:r>
              <w:t>签约率</w:t>
            </w:r>
          </w:p>
        </w:tc>
        <w:tc>
          <w:tcPr>
            <w:tcW w:w="523" w:type="pct"/>
            <w:noWrap w:val="0"/>
            <w:vAlign w:val="center"/>
          </w:tcPr>
          <w:p>
            <w:pPr>
              <w:pStyle w:val="30"/>
              <w:widowControl w:val="0"/>
              <w:spacing w:line="240" w:lineRule="auto"/>
            </w:pPr>
            <w:r>
              <w:t>升学率</w:t>
            </w:r>
          </w:p>
        </w:tc>
        <w:tc>
          <w:tcPr>
            <w:tcW w:w="554" w:type="pct"/>
            <w:noWrap w:val="0"/>
            <w:vAlign w:val="center"/>
          </w:tcPr>
          <w:p>
            <w:pPr>
              <w:pStyle w:val="30"/>
              <w:widowControl w:val="0"/>
              <w:spacing w:line="240" w:lineRule="auto"/>
            </w:pPr>
            <w:r>
              <w:t>就业率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1" w:type="pct"/>
            <w:vMerge w:val="restart"/>
            <w:noWrap w:val="0"/>
            <w:vAlign w:val="center"/>
          </w:tcPr>
          <w:p>
            <w:pPr>
              <w:pStyle w:val="30"/>
              <w:widowControl w:val="0"/>
              <w:spacing w:line="240" w:lineRule="auto"/>
            </w:pPr>
            <w:r>
              <w:t>理论经济学</w:t>
            </w:r>
          </w:p>
        </w:tc>
        <w:tc>
          <w:tcPr>
            <w:tcW w:w="948" w:type="pct"/>
            <w:noWrap w:val="0"/>
            <w:vAlign w:val="center"/>
          </w:tcPr>
          <w:p>
            <w:pPr>
              <w:pStyle w:val="30"/>
              <w:widowControl w:val="0"/>
              <w:spacing w:line="240" w:lineRule="auto"/>
            </w:pPr>
            <w:r>
              <w:t>政治经济学</w:t>
            </w:r>
          </w:p>
        </w:tc>
        <w:tc>
          <w:tcPr>
            <w:tcW w:w="375" w:type="pct"/>
            <w:noWrap w:val="0"/>
            <w:vAlign w:val="center"/>
          </w:tcPr>
          <w:p>
            <w:pPr>
              <w:pStyle w:val="30"/>
              <w:widowControl w:val="0"/>
              <w:spacing w:line="240" w:lineRule="auto"/>
              <w:rPr>
                <w:rFonts w:hint="eastAsia" w:eastAsia="宋体"/>
                <w:lang w:eastAsia="zh-CN"/>
              </w:rPr>
            </w:pPr>
            <w:r>
              <w:rPr>
                <w:rFonts w:hint="eastAsia"/>
                <w:lang w:val="en-US" w:eastAsia="zh-CN"/>
              </w:rPr>
              <w:t>1</w:t>
            </w:r>
          </w:p>
        </w:tc>
        <w:tc>
          <w:tcPr>
            <w:tcW w:w="412" w:type="pct"/>
            <w:noWrap w:val="0"/>
            <w:vAlign w:val="center"/>
          </w:tcPr>
          <w:p>
            <w:pPr>
              <w:pStyle w:val="30"/>
              <w:widowControl w:val="0"/>
              <w:spacing w:line="240" w:lineRule="auto"/>
              <w:rPr>
                <w:rFonts w:hint="eastAsia" w:eastAsia="宋体"/>
                <w:lang w:eastAsia="zh-CN"/>
              </w:rPr>
            </w:pPr>
            <w:r>
              <w:rPr>
                <w:rFonts w:hint="eastAsia"/>
                <w:lang w:val="en-US" w:eastAsia="zh-CN"/>
              </w:rPr>
              <w:t>1</w:t>
            </w:r>
          </w:p>
        </w:tc>
        <w:tc>
          <w:tcPr>
            <w:tcW w:w="420" w:type="pct"/>
            <w:noWrap w:val="0"/>
            <w:vAlign w:val="center"/>
          </w:tcPr>
          <w:p>
            <w:pPr>
              <w:pStyle w:val="30"/>
              <w:widowControl w:val="0"/>
              <w:spacing w:line="240" w:lineRule="auto"/>
              <w:rPr>
                <w:rFonts w:hint="eastAsia" w:eastAsia="宋体"/>
                <w:lang w:eastAsia="zh-CN"/>
              </w:rPr>
            </w:pPr>
            <w:r>
              <w:rPr>
                <w:rFonts w:hint="eastAsia"/>
                <w:lang w:val="en-US" w:eastAsia="zh-CN"/>
              </w:rPr>
              <w:t>0</w:t>
            </w:r>
          </w:p>
        </w:tc>
        <w:tc>
          <w:tcPr>
            <w:tcW w:w="622" w:type="pct"/>
            <w:noWrap w:val="0"/>
            <w:vAlign w:val="center"/>
          </w:tcPr>
          <w:p>
            <w:pPr>
              <w:pStyle w:val="30"/>
              <w:widowControl w:val="0"/>
              <w:spacing w:line="240" w:lineRule="auto"/>
            </w:pPr>
            <w:r>
              <w:t>0</w:t>
            </w:r>
          </w:p>
        </w:tc>
        <w:tc>
          <w:tcPr>
            <w:tcW w:w="551" w:type="pct"/>
            <w:noWrap w:val="0"/>
            <w:vAlign w:val="center"/>
          </w:tcPr>
          <w:p>
            <w:pPr>
              <w:pStyle w:val="30"/>
              <w:widowControl w:val="0"/>
              <w:spacing w:line="240" w:lineRule="auto"/>
            </w:pPr>
            <w:r>
              <w:t>100</w:t>
            </w:r>
            <w:r>
              <w:rPr>
                <w:rFonts w:hint="eastAsia"/>
                <w:lang w:val="en-US" w:eastAsia="zh-CN"/>
              </w:rPr>
              <w:t>%</w:t>
            </w:r>
          </w:p>
        </w:tc>
        <w:tc>
          <w:tcPr>
            <w:tcW w:w="523" w:type="pct"/>
            <w:noWrap w:val="0"/>
            <w:vAlign w:val="center"/>
          </w:tcPr>
          <w:p>
            <w:pPr>
              <w:pStyle w:val="30"/>
              <w:widowControl w:val="0"/>
              <w:spacing w:line="240" w:lineRule="auto"/>
            </w:pPr>
            <w:r>
              <w:t>0</w:t>
            </w:r>
          </w:p>
        </w:tc>
        <w:tc>
          <w:tcPr>
            <w:tcW w:w="554" w:type="pct"/>
            <w:noWrap w:val="0"/>
            <w:vAlign w:val="center"/>
          </w:tcPr>
          <w:p>
            <w:pPr>
              <w:pStyle w:val="30"/>
              <w:widowControl w:val="0"/>
              <w:spacing w:line="240" w:lineRule="auto"/>
              <w:rPr>
                <w:rFonts w:hint="eastAsia" w:eastAsia="宋体"/>
                <w:lang w:val="en-US" w:eastAsia="zh-CN"/>
              </w:rPr>
            </w:pPr>
            <w:r>
              <w:t>100</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1" w:type="pct"/>
            <w:vMerge w:val="continue"/>
            <w:noWrap w:val="0"/>
            <w:vAlign w:val="center"/>
          </w:tcPr>
          <w:p>
            <w:pPr>
              <w:pStyle w:val="30"/>
              <w:widowControl w:val="0"/>
              <w:spacing w:line="240" w:lineRule="auto"/>
            </w:pPr>
          </w:p>
        </w:tc>
        <w:tc>
          <w:tcPr>
            <w:tcW w:w="948" w:type="pct"/>
            <w:noWrap w:val="0"/>
            <w:vAlign w:val="center"/>
          </w:tcPr>
          <w:p>
            <w:pPr>
              <w:pStyle w:val="30"/>
              <w:widowControl w:val="0"/>
              <w:spacing w:line="240" w:lineRule="auto"/>
            </w:pPr>
            <w:r>
              <w:t>西方经济学</w:t>
            </w:r>
          </w:p>
        </w:tc>
        <w:tc>
          <w:tcPr>
            <w:tcW w:w="375" w:type="pct"/>
            <w:noWrap w:val="0"/>
            <w:vAlign w:val="center"/>
          </w:tcPr>
          <w:p>
            <w:pPr>
              <w:pStyle w:val="30"/>
              <w:widowControl w:val="0"/>
              <w:spacing w:line="240" w:lineRule="auto"/>
              <w:rPr>
                <w:rFonts w:hint="eastAsia" w:eastAsia="宋体"/>
                <w:lang w:eastAsia="zh-CN"/>
              </w:rPr>
            </w:pPr>
            <w:r>
              <w:rPr>
                <w:rFonts w:hint="eastAsia"/>
                <w:lang w:val="en-US" w:eastAsia="zh-CN"/>
              </w:rPr>
              <w:t>3</w:t>
            </w:r>
          </w:p>
        </w:tc>
        <w:tc>
          <w:tcPr>
            <w:tcW w:w="412" w:type="pct"/>
            <w:noWrap w:val="0"/>
            <w:vAlign w:val="center"/>
          </w:tcPr>
          <w:p>
            <w:pPr>
              <w:pStyle w:val="30"/>
              <w:widowControl w:val="0"/>
              <w:spacing w:line="240" w:lineRule="auto"/>
            </w:pPr>
            <w:r>
              <w:rPr>
                <w:rFonts w:hint="eastAsia"/>
              </w:rPr>
              <w:t>2</w:t>
            </w:r>
          </w:p>
        </w:tc>
        <w:tc>
          <w:tcPr>
            <w:tcW w:w="420" w:type="pct"/>
            <w:noWrap w:val="0"/>
            <w:vAlign w:val="center"/>
          </w:tcPr>
          <w:p>
            <w:pPr>
              <w:pStyle w:val="30"/>
              <w:widowControl w:val="0"/>
              <w:spacing w:line="240" w:lineRule="auto"/>
              <w:rPr>
                <w:rFonts w:hint="eastAsia" w:eastAsia="宋体"/>
                <w:lang w:eastAsia="zh-CN"/>
              </w:rPr>
            </w:pPr>
            <w:r>
              <w:rPr>
                <w:rFonts w:hint="eastAsia"/>
                <w:lang w:val="en-US" w:eastAsia="zh-CN"/>
              </w:rPr>
              <w:t>1</w:t>
            </w:r>
          </w:p>
        </w:tc>
        <w:tc>
          <w:tcPr>
            <w:tcW w:w="622" w:type="pct"/>
            <w:noWrap w:val="0"/>
            <w:vAlign w:val="center"/>
          </w:tcPr>
          <w:p>
            <w:pPr>
              <w:pStyle w:val="30"/>
              <w:widowControl w:val="0"/>
              <w:spacing w:line="240" w:lineRule="auto"/>
            </w:pPr>
            <w:r>
              <w:rPr>
                <w:rFonts w:hint="eastAsia"/>
              </w:rPr>
              <w:t>0</w:t>
            </w:r>
          </w:p>
        </w:tc>
        <w:tc>
          <w:tcPr>
            <w:tcW w:w="551" w:type="pct"/>
            <w:noWrap w:val="0"/>
            <w:vAlign w:val="center"/>
          </w:tcPr>
          <w:p>
            <w:pPr>
              <w:pStyle w:val="30"/>
              <w:widowControl w:val="0"/>
              <w:spacing w:line="240" w:lineRule="auto"/>
            </w:pPr>
            <w:r>
              <w:rPr>
                <w:rFonts w:hint="eastAsia"/>
              </w:rPr>
              <w:t>66.67</w:t>
            </w:r>
            <w:r>
              <w:rPr>
                <w:rFonts w:hint="eastAsia"/>
                <w:lang w:val="en-US" w:eastAsia="zh-CN"/>
              </w:rPr>
              <w:t>%</w:t>
            </w:r>
          </w:p>
        </w:tc>
        <w:tc>
          <w:tcPr>
            <w:tcW w:w="523" w:type="pct"/>
            <w:noWrap w:val="0"/>
            <w:vAlign w:val="center"/>
          </w:tcPr>
          <w:p>
            <w:pPr>
              <w:pStyle w:val="30"/>
              <w:widowControl w:val="0"/>
              <w:spacing w:line="240" w:lineRule="auto"/>
            </w:pPr>
            <w:r>
              <w:rPr>
                <w:rFonts w:hint="eastAsia"/>
              </w:rPr>
              <w:t>33.33%</w:t>
            </w:r>
          </w:p>
        </w:tc>
        <w:tc>
          <w:tcPr>
            <w:tcW w:w="554" w:type="pct"/>
            <w:noWrap w:val="0"/>
            <w:vAlign w:val="center"/>
          </w:tcPr>
          <w:p>
            <w:pPr>
              <w:pStyle w:val="30"/>
              <w:widowControl w:val="0"/>
              <w:spacing w:line="240" w:lineRule="auto"/>
              <w:rPr>
                <w:rFonts w:hint="eastAsia" w:eastAsia="宋体"/>
                <w:lang w:val="en-US" w:eastAsia="zh-CN"/>
              </w:rPr>
            </w:pPr>
            <w:r>
              <w:rPr>
                <w:rFonts w:hint="eastAsia"/>
              </w:rPr>
              <w:t>100</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1" w:type="pct"/>
            <w:vMerge w:val="continue"/>
            <w:noWrap w:val="0"/>
            <w:vAlign w:val="center"/>
          </w:tcPr>
          <w:p>
            <w:pPr>
              <w:pStyle w:val="30"/>
              <w:widowControl w:val="0"/>
              <w:spacing w:line="240" w:lineRule="auto"/>
            </w:pPr>
          </w:p>
        </w:tc>
        <w:tc>
          <w:tcPr>
            <w:tcW w:w="948" w:type="pct"/>
            <w:noWrap w:val="0"/>
            <w:vAlign w:val="center"/>
          </w:tcPr>
          <w:p>
            <w:pPr>
              <w:pStyle w:val="30"/>
              <w:widowControl w:val="0"/>
              <w:spacing w:line="240" w:lineRule="auto"/>
            </w:pPr>
            <w:r>
              <w:t>人口、资源与</w:t>
            </w:r>
          </w:p>
          <w:p>
            <w:pPr>
              <w:pStyle w:val="30"/>
              <w:widowControl w:val="0"/>
              <w:spacing w:line="240" w:lineRule="auto"/>
            </w:pPr>
            <w:r>
              <w:t>环境经济学</w:t>
            </w:r>
          </w:p>
        </w:tc>
        <w:tc>
          <w:tcPr>
            <w:tcW w:w="375" w:type="pct"/>
            <w:noWrap w:val="0"/>
            <w:vAlign w:val="center"/>
          </w:tcPr>
          <w:p>
            <w:pPr>
              <w:pStyle w:val="30"/>
              <w:widowControl w:val="0"/>
              <w:spacing w:line="240" w:lineRule="auto"/>
            </w:pPr>
            <w:r>
              <w:rPr>
                <w:rFonts w:hint="eastAsia"/>
              </w:rPr>
              <w:t>2</w:t>
            </w:r>
          </w:p>
        </w:tc>
        <w:tc>
          <w:tcPr>
            <w:tcW w:w="412" w:type="pct"/>
            <w:noWrap w:val="0"/>
            <w:vAlign w:val="center"/>
          </w:tcPr>
          <w:p>
            <w:pPr>
              <w:pStyle w:val="30"/>
              <w:widowControl w:val="0"/>
              <w:spacing w:line="240" w:lineRule="auto"/>
            </w:pPr>
            <w:r>
              <w:rPr>
                <w:rFonts w:hint="eastAsia"/>
              </w:rPr>
              <w:t>1</w:t>
            </w:r>
          </w:p>
        </w:tc>
        <w:tc>
          <w:tcPr>
            <w:tcW w:w="420" w:type="pct"/>
            <w:noWrap w:val="0"/>
            <w:vAlign w:val="center"/>
          </w:tcPr>
          <w:p>
            <w:pPr>
              <w:pStyle w:val="30"/>
              <w:widowControl w:val="0"/>
              <w:spacing w:line="240" w:lineRule="auto"/>
            </w:pPr>
            <w:r>
              <w:rPr>
                <w:rFonts w:hint="eastAsia"/>
              </w:rPr>
              <w:t>1</w:t>
            </w:r>
          </w:p>
        </w:tc>
        <w:tc>
          <w:tcPr>
            <w:tcW w:w="622" w:type="pct"/>
            <w:noWrap w:val="0"/>
            <w:vAlign w:val="center"/>
          </w:tcPr>
          <w:p>
            <w:pPr>
              <w:pStyle w:val="30"/>
              <w:widowControl w:val="0"/>
              <w:spacing w:line="240" w:lineRule="auto"/>
            </w:pPr>
            <w:r>
              <w:rPr>
                <w:rFonts w:hint="eastAsia"/>
              </w:rPr>
              <w:t>0</w:t>
            </w:r>
          </w:p>
        </w:tc>
        <w:tc>
          <w:tcPr>
            <w:tcW w:w="551" w:type="pct"/>
            <w:noWrap w:val="0"/>
            <w:vAlign w:val="center"/>
          </w:tcPr>
          <w:p>
            <w:pPr>
              <w:pStyle w:val="30"/>
              <w:widowControl w:val="0"/>
              <w:spacing w:line="240" w:lineRule="auto"/>
              <w:rPr>
                <w:rFonts w:hint="eastAsia" w:eastAsia="宋体"/>
                <w:lang w:val="en-US" w:eastAsia="zh-CN"/>
              </w:rPr>
            </w:pPr>
            <w:r>
              <w:rPr>
                <w:rFonts w:hint="eastAsia"/>
              </w:rPr>
              <w:t>50</w:t>
            </w:r>
            <w:r>
              <w:rPr>
                <w:rFonts w:hint="eastAsia"/>
                <w:lang w:val="en-US" w:eastAsia="zh-CN"/>
              </w:rPr>
              <w:t>%</w:t>
            </w:r>
          </w:p>
        </w:tc>
        <w:tc>
          <w:tcPr>
            <w:tcW w:w="523" w:type="pct"/>
            <w:noWrap w:val="0"/>
            <w:vAlign w:val="center"/>
          </w:tcPr>
          <w:p>
            <w:pPr>
              <w:pStyle w:val="30"/>
              <w:widowControl w:val="0"/>
              <w:spacing w:line="240" w:lineRule="auto"/>
              <w:rPr>
                <w:rFonts w:hint="eastAsia" w:eastAsia="宋体"/>
                <w:lang w:val="en-US" w:eastAsia="zh-CN"/>
              </w:rPr>
            </w:pPr>
            <w:r>
              <w:rPr>
                <w:rFonts w:hint="eastAsia"/>
              </w:rPr>
              <w:t>50</w:t>
            </w:r>
            <w:r>
              <w:rPr>
                <w:rFonts w:hint="eastAsia"/>
                <w:lang w:val="en-US" w:eastAsia="zh-CN"/>
              </w:rPr>
              <w:t>%</w:t>
            </w:r>
          </w:p>
        </w:tc>
        <w:tc>
          <w:tcPr>
            <w:tcW w:w="554" w:type="pct"/>
            <w:noWrap w:val="0"/>
            <w:vAlign w:val="center"/>
          </w:tcPr>
          <w:p>
            <w:pPr>
              <w:pStyle w:val="30"/>
              <w:widowControl w:val="0"/>
              <w:spacing w:line="240" w:lineRule="auto"/>
              <w:rPr>
                <w:rFonts w:hint="eastAsia" w:eastAsia="宋体"/>
                <w:lang w:val="en-US" w:eastAsia="zh-CN"/>
              </w:rPr>
            </w:pPr>
            <w:r>
              <w:rPr>
                <w:rFonts w:hint="eastAsia"/>
              </w:rPr>
              <w:t>100</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1" w:type="pct"/>
            <w:vMerge w:val="restart"/>
            <w:noWrap w:val="0"/>
            <w:vAlign w:val="center"/>
          </w:tcPr>
          <w:p>
            <w:pPr>
              <w:pStyle w:val="30"/>
              <w:widowControl w:val="0"/>
              <w:spacing w:line="240" w:lineRule="auto"/>
            </w:pPr>
            <w:r>
              <w:t>应用经济学</w:t>
            </w:r>
          </w:p>
        </w:tc>
        <w:tc>
          <w:tcPr>
            <w:tcW w:w="948" w:type="pct"/>
            <w:noWrap w:val="0"/>
            <w:vAlign w:val="center"/>
          </w:tcPr>
          <w:p>
            <w:pPr>
              <w:pStyle w:val="30"/>
              <w:widowControl w:val="0"/>
              <w:spacing w:line="240" w:lineRule="auto"/>
            </w:pPr>
            <w:r>
              <w:t>区域经济学</w:t>
            </w:r>
          </w:p>
        </w:tc>
        <w:tc>
          <w:tcPr>
            <w:tcW w:w="375" w:type="pct"/>
            <w:noWrap w:val="0"/>
            <w:vAlign w:val="center"/>
          </w:tcPr>
          <w:p>
            <w:pPr>
              <w:pStyle w:val="30"/>
              <w:widowControl w:val="0"/>
              <w:spacing w:line="240" w:lineRule="auto"/>
            </w:pPr>
            <w:r>
              <w:rPr>
                <w:rFonts w:hint="eastAsia"/>
              </w:rPr>
              <w:t>1</w:t>
            </w:r>
          </w:p>
        </w:tc>
        <w:tc>
          <w:tcPr>
            <w:tcW w:w="412" w:type="pct"/>
            <w:noWrap w:val="0"/>
            <w:vAlign w:val="center"/>
          </w:tcPr>
          <w:p>
            <w:pPr>
              <w:pStyle w:val="30"/>
              <w:widowControl w:val="0"/>
              <w:spacing w:line="240" w:lineRule="auto"/>
              <w:rPr>
                <w:rFonts w:hint="eastAsia" w:eastAsia="宋体"/>
                <w:lang w:eastAsia="zh-CN"/>
              </w:rPr>
            </w:pPr>
            <w:r>
              <w:rPr>
                <w:rFonts w:hint="eastAsia"/>
                <w:lang w:val="en-US" w:eastAsia="zh-CN"/>
              </w:rPr>
              <w:t>1</w:t>
            </w:r>
          </w:p>
        </w:tc>
        <w:tc>
          <w:tcPr>
            <w:tcW w:w="420" w:type="pct"/>
            <w:noWrap w:val="0"/>
            <w:vAlign w:val="center"/>
          </w:tcPr>
          <w:p>
            <w:pPr>
              <w:pStyle w:val="30"/>
              <w:widowControl w:val="0"/>
              <w:spacing w:line="240" w:lineRule="auto"/>
              <w:rPr>
                <w:rFonts w:hint="eastAsia" w:eastAsia="宋体"/>
                <w:lang w:eastAsia="zh-CN"/>
              </w:rPr>
            </w:pPr>
            <w:r>
              <w:rPr>
                <w:rFonts w:hint="eastAsia"/>
                <w:lang w:val="en-US" w:eastAsia="zh-CN"/>
              </w:rPr>
              <w:t>0</w:t>
            </w:r>
          </w:p>
        </w:tc>
        <w:tc>
          <w:tcPr>
            <w:tcW w:w="622" w:type="pct"/>
            <w:noWrap w:val="0"/>
            <w:vAlign w:val="center"/>
          </w:tcPr>
          <w:p>
            <w:pPr>
              <w:pStyle w:val="30"/>
              <w:widowControl w:val="0"/>
              <w:spacing w:line="240" w:lineRule="auto"/>
            </w:pPr>
            <w:r>
              <w:t>0</w:t>
            </w:r>
          </w:p>
        </w:tc>
        <w:tc>
          <w:tcPr>
            <w:tcW w:w="551" w:type="pct"/>
            <w:noWrap w:val="0"/>
            <w:vAlign w:val="center"/>
          </w:tcPr>
          <w:p>
            <w:pPr>
              <w:pStyle w:val="30"/>
              <w:widowControl w:val="0"/>
              <w:spacing w:line="240" w:lineRule="auto"/>
            </w:pPr>
            <w:r>
              <w:rPr>
                <w:rFonts w:hint="eastAsia"/>
              </w:rPr>
              <w:t>100</w:t>
            </w:r>
            <w:r>
              <w:rPr>
                <w:rFonts w:hint="eastAsia"/>
                <w:lang w:val="en-US" w:eastAsia="zh-CN"/>
              </w:rPr>
              <w:t>%</w:t>
            </w:r>
          </w:p>
        </w:tc>
        <w:tc>
          <w:tcPr>
            <w:tcW w:w="523" w:type="pct"/>
            <w:noWrap w:val="0"/>
            <w:vAlign w:val="center"/>
          </w:tcPr>
          <w:p>
            <w:pPr>
              <w:pStyle w:val="30"/>
              <w:widowControl w:val="0"/>
              <w:spacing w:line="240" w:lineRule="auto"/>
            </w:pPr>
            <w:r>
              <w:rPr>
                <w:rFonts w:hint="eastAsia"/>
              </w:rPr>
              <w:t>0</w:t>
            </w:r>
          </w:p>
        </w:tc>
        <w:tc>
          <w:tcPr>
            <w:tcW w:w="554" w:type="pct"/>
            <w:noWrap w:val="0"/>
            <w:vAlign w:val="center"/>
          </w:tcPr>
          <w:p>
            <w:pPr>
              <w:pStyle w:val="30"/>
              <w:widowControl w:val="0"/>
              <w:spacing w:line="240" w:lineRule="auto"/>
              <w:rPr>
                <w:rFonts w:hint="eastAsia" w:eastAsia="宋体"/>
                <w:lang w:val="en-US" w:eastAsia="zh-CN"/>
              </w:rPr>
            </w:pPr>
            <w:r>
              <w:t>100</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1" w:type="pct"/>
            <w:vMerge w:val="continue"/>
            <w:noWrap w:val="0"/>
            <w:vAlign w:val="center"/>
          </w:tcPr>
          <w:p>
            <w:pPr>
              <w:pStyle w:val="30"/>
              <w:widowControl w:val="0"/>
              <w:spacing w:line="240" w:lineRule="auto"/>
            </w:pPr>
          </w:p>
        </w:tc>
        <w:tc>
          <w:tcPr>
            <w:tcW w:w="948" w:type="pct"/>
            <w:noWrap w:val="0"/>
            <w:vAlign w:val="center"/>
          </w:tcPr>
          <w:p>
            <w:pPr>
              <w:pStyle w:val="30"/>
              <w:widowControl w:val="0"/>
              <w:spacing w:line="240" w:lineRule="auto"/>
            </w:pPr>
            <w:r>
              <w:t>金融学</w:t>
            </w:r>
          </w:p>
        </w:tc>
        <w:tc>
          <w:tcPr>
            <w:tcW w:w="375" w:type="pct"/>
            <w:noWrap w:val="0"/>
            <w:vAlign w:val="center"/>
          </w:tcPr>
          <w:p>
            <w:pPr>
              <w:pStyle w:val="30"/>
              <w:widowControl w:val="0"/>
              <w:spacing w:line="240" w:lineRule="auto"/>
            </w:pPr>
            <w:r>
              <w:t>2</w:t>
            </w:r>
          </w:p>
        </w:tc>
        <w:tc>
          <w:tcPr>
            <w:tcW w:w="412" w:type="pct"/>
            <w:noWrap w:val="0"/>
            <w:vAlign w:val="center"/>
          </w:tcPr>
          <w:p>
            <w:pPr>
              <w:pStyle w:val="30"/>
              <w:widowControl w:val="0"/>
              <w:spacing w:line="240" w:lineRule="auto"/>
            </w:pPr>
            <w:r>
              <w:rPr>
                <w:rFonts w:hint="eastAsia"/>
              </w:rPr>
              <w:t>2</w:t>
            </w:r>
          </w:p>
        </w:tc>
        <w:tc>
          <w:tcPr>
            <w:tcW w:w="420" w:type="pct"/>
            <w:noWrap w:val="0"/>
            <w:vAlign w:val="center"/>
          </w:tcPr>
          <w:p>
            <w:pPr>
              <w:pStyle w:val="30"/>
              <w:widowControl w:val="0"/>
              <w:spacing w:line="240" w:lineRule="auto"/>
            </w:pPr>
            <w:r>
              <w:rPr>
                <w:rFonts w:hint="eastAsia"/>
              </w:rPr>
              <w:t>0</w:t>
            </w:r>
          </w:p>
        </w:tc>
        <w:tc>
          <w:tcPr>
            <w:tcW w:w="622" w:type="pct"/>
            <w:noWrap w:val="0"/>
            <w:vAlign w:val="center"/>
          </w:tcPr>
          <w:p>
            <w:pPr>
              <w:pStyle w:val="30"/>
              <w:widowControl w:val="0"/>
              <w:spacing w:line="240" w:lineRule="auto"/>
            </w:pPr>
            <w:r>
              <w:rPr>
                <w:rFonts w:hint="eastAsia"/>
              </w:rPr>
              <w:t>0</w:t>
            </w:r>
          </w:p>
        </w:tc>
        <w:tc>
          <w:tcPr>
            <w:tcW w:w="551" w:type="pct"/>
            <w:noWrap w:val="0"/>
            <w:vAlign w:val="center"/>
          </w:tcPr>
          <w:p>
            <w:pPr>
              <w:pStyle w:val="30"/>
              <w:widowControl w:val="0"/>
              <w:spacing w:line="240" w:lineRule="auto"/>
            </w:pPr>
            <w:r>
              <w:rPr>
                <w:rFonts w:hint="eastAsia"/>
              </w:rPr>
              <w:t>100</w:t>
            </w:r>
            <w:r>
              <w:rPr>
                <w:rFonts w:hint="eastAsia"/>
                <w:lang w:val="en-US" w:eastAsia="zh-CN"/>
              </w:rPr>
              <w:t>%</w:t>
            </w:r>
          </w:p>
        </w:tc>
        <w:tc>
          <w:tcPr>
            <w:tcW w:w="523" w:type="pct"/>
            <w:noWrap w:val="0"/>
            <w:vAlign w:val="center"/>
          </w:tcPr>
          <w:p>
            <w:pPr>
              <w:pStyle w:val="30"/>
              <w:widowControl w:val="0"/>
              <w:spacing w:line="240" w:lineRule="auto"/>
            </w:pPr>
            <w:r>
              <w:rPr>
                <w:rFonts w:hint="eastAsia"/>
              </w:rPr>
              <w:t>0</w:t>
            </w:r>
          </w:p>
        </w:tc>
        <w:tc>
          <w:tcPr>
            <w:tcW w:w="554" w:type="pct"/>
            <w:noWrap w:val="0"/>
            <w:vAlign w:val="center"/>
          </w:tcPr>
          <w:p>
            <w:pPr>
              <w:pStyle w:val="30"/>
              <w:widowControl w:val="0"/>
              <w:spacing w:line="240" w:lineRule="auto"/>
              <w:rPr>
                <w:rFonts w:hint="eastAsia" w:eastAsia="宋体"/>
                <w:lang w:val="en-US" w:eastAsia="zh-CN"/>
              </w:rPr>
            </w:pPr>
            <w:r>
              <w:rPr>
                <w:rFonts w:hint="eastAsia"/>
              </w:rPr>
              <w:t>10</w:t>
            </w:r>
            <w:r>
              <w:t>0</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1" w:type="pct"/>
            <w:vMerge w:val="continue"/>
            <w:noWrap w:val="0"/>
            <w:vAlign w:val="center"/>
          </w:tcPr>
          <w:p>
            <w:pPr>
              <w:pStyle w:val="30"/>
              <w:widowControl w:val="0"/>
              <w:spacing w:line="240" w:lineRule="auto"/>
            </w:pPr>
          </w:p>
        </w:tc>
        <w:tc>
          <w:tcPr>
            <w:tcW w:w="948" w:type="pct"/>
            <w:noWrap w:val="0"/>
            <w:vAlign w:val="center"/>
          </w:tcPr>
          <w:p>
            <w:pPr>
              <w:pStyle w:val="30"/>
              <w:widowControl w:val="0"/>
              <w:spacing w:line="240" w:lineRule="auto"/>
            </w:pPr>
            <w:r>
              <w:t>产业经济学</w:t>
            </w:r>
          </w:p>
        </w:tc>
        <w:tc>
          <w:tcPr>
            <w:tcW w:w="375" w:type="pct"/>
            <w:noWrap w:val="0"/>
            <w:vAlign w:val="center"/>
          </w:tcPr>
          <w:p>
            <w:pPr>
              <w:pStyle w:val="30"/>
              <w:widowControl w:val="0"/>
              <w:spacing w:line="240" w:lineRule="auto"/>
            </w:pPr>
            <w:r>
              <w:rPr>
                <w:rFonts w:hint="eastAsia"/>
              </w:rPr>
              <w:t>5</w:t>
            </w:r>
          </w:p>
        </w:tc>
        <w:tc>
          <w:tcPr>
            <w:tcW w:w="412" w:type="pct"/>
            <w:noWrap w:val="0"/>
            <w:vAlign w:val="center"/>
          </w:tcPr>
          <w:p>
            <w:pPr>
              <w:pStyle w:val="30"/>
              <w:widowControl w:val="0"/>
              <w:spacing w:line="240" w:lineRule="auto"/>
            </w:pPr>
            <w:r>
              <w:rPr>
                <w:rFonts w:hint="eastAsia"/>
              </w:rPr>
              <w:t>4</w:t>
            </w:r>
          </w:p>
        </w:tc>
        <w:tc>
          <w:tcPr>
            <w:tcW w:w="420" w:type="pct"/>
            <w:noWrap w:val="0"/>
            <w:vAlign w:val="center"/>
          </w:tcPr>
          <w:p>
            <w:pPr>
              <w:pStyle w:val="30"/>
              <w:widowControl w:val="0"/>
              <w:spacing w:line="240" w:lineRule="auto"/>
              <w:rPr>
                <w:rFonts w:hint="eastAsia" w:eastAsia="宋体"/>
                <w:lang w:eastAsia="zh-CN"/>
              </w:rPr>
            </w:pPr>
            <w:r>
              <w:rPr>
                <w:rFonts w:hint="eastAsia"/>
                <w:lang w:val="en-US" w:eastAsia="zh-CN"/>
              </w:rPr>
              <w:t>0</w:t>
            </w:r>
          </w:p>
        </w:tc>
        <w:tc>
          <w:tcPr>
            <w:tcW w:w="622" w:type="pct"/>
            <w:noWrap w:val="0"/>
            <w:vAlign w:val="center"/>
          </w:tcPr>
          <w:p>
            <w:pPr>
              <w:pStyle w:val="30"/>
              <w:widowControl w:val="0"/>
              <w:spacing w:line="240" w:lineRule="auto"/>
              <w:rPr>
                <w:rFonts w:hint="eastAsia" w:eastAsia="宋体"/>
                <w:lang w:eastAsia="zh-CN"/>
              </w:rPr>
            </w:pPr>
            <w:r>
              <w:rPr>
                <w:rFonts w:hint="eastAsia"/>
                <w:lang w:val="en-US" w:eastAsia="zh-CN"/>
              </w:rPr>
              <w:t>1</w:t>
            </w:r>
          </w:p>
        </w:tc>
        <w:tc>
          <w:tcPr>
            <w:tcW w:w="551" w:type="pct"/>
            <w:noWrap w:val="0"/>
            <w:vAlign w:val="center"/>
          </w:tcPr>
          <w:p>
            <w:pPr>
              <w:pStyle w:val="30"/>
              <w:widowControl w:val="0"/>
              <w:spacing w:line="240" w:lineRule="auto"/>
              <w:rPr>
                <w:rFonts w:hint="eastAsia" w:eastAsia="宋体"/>
                <w:lang w:val="en-US" w:eastAsia="zh-CN"/>
              </w:rPr>
            </w:pPr>
            <w:r>
              <w:rPr>
                <w:rFonts w:hint="eastAsia"/>
              </w:rPr>
              <w:t>80</w:t>
            </w:r>
            <w:r>
              <w:rPr>
                <w:rFonts w:hint="eastAsia"/>
                <w:lang w:val="en-US" w:eastAsia="zh-CN"/>
              </w:rPr>
              <w:t>%</w:t>
            </w:r>
          </w:p>
        </w:tc>
        <w:tc>
          <w:tcPr>
            <w:tcW w:w="523" w:type="pct"/>
            <w:noWrap w:val="0"/>
            <w:vAlign w:val="center"/>
          </w:tcPr>
          <w:p>
            <w:pPr>
              <w:pStyle w:val="30"/>
              <w:widowControl w:val="0"/>
              <w:spacing w:line="240" w:lineRule="auto"/>
              <w:rPr>
                <w:rFonts w:hint="eastAsia" w:eastAsia="宋体"/>
                <w:lang w:eastAsia="zh-CN"/>
              </w:rPr>
            </w:pPr>
            <w:r>
              <w:rPr>
                <w:rFonts w:hint="eastAsia"/>
                <w:lang w:val="en-US" w:eastAsia="zh-CN"/>
              </w:rPr>
              <w:t>0</w:t>
            </w:r>
          </w:p>
        </w:tc>
        <w:tc>
          <w:tcPr>
            <w:tcW w:w="554" w:type="pct"/>
            <w:noWrap w:val="0"/>
            <w:vAlign w:val="center"/>
          </w:tcPr>
          <w:p>
            <w:pPr>
              <w:pStyle w:val="30"/>
              <w:widowControl w:val="0"/>
              <w:spacing w:line="240" w:lineRule="auto"/>
              <w:rPr>
                <w:rFonts w:hint="default" w:eastAsia="宋体"/>
                <w:lang w:val="en-US" w:eastAsia="zh-CN"/>
              </w:rPr>
            </w:pPr>
            <w:r>
              <w:rPr>
                <w:rFonts w:hint="eastAsia"/>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1" w:type="pct"/>
            <w:vMerge w:val="continue"/>
            <w:noWrap w:val="0"/>
            <w:vAlign w:val="center"/>
          </w:tcPr>
          <w:p>
            <w:pPr>
              <w:pStyle w:val="30"/>
              <w:widowControl w:val="0"/>
              <w:spacing w:line="240" w:lineRule="auto"/>
            </w:pPr>
          </w:p>
        </w:tc>
        <w:tc>
          <w:tcPr>
            <w:tcW w:w="948" w:type="pct"/>
            <w:noWrap w:val="0"/>
            <w:vAlign w:val="center"/>
          </w:tcPr>
          <w:p>
            <w:pPr>
              <w:pStyle w:val="30"/>
              <w:widowControl w:val="0"/>
              <w:spacing w:line="240" w:lineRule="auto"/>
            </w:pPr>
            <w:r>
              <w:t>国际贸易学</w:t>
            </w:r>
          </w:p>
        </w:tc>
        <w:tc>
          <w:tcPr>
            <w:tcW w:w="375" w:type="pct"/>
            <w:noWrap w:val="0"/>
            <w:vAlign w:val="center"/>
          </w:tcPr>
          <w:p>
            <w:pPr>
              <w:pStyle w:val="30"/>
              <w:widowControl w:val="0"/>
              <w:spacing w:line="240" w:lineRule="auto"/>
            </w:pPr>
            <w:r>
              <w:t>2</w:t>
            </w:r>
          </w:p>
        </w:tc>
        <w:tc>
          <w:tcPr>
            <w:tcW w:w="412" w:type="pct"/>
            <w:noWrap w:val="0"/>
            <w:vAlign w:val="center"/>
          </w:tcPr>
          <w:p>
            <w:pPr>
              <w:pStyle w:val="30"/>
              <w:widowControl w:val="0"/>
              <w:spacing w:line="240" w:lineRule="auto"/>
              <w:rPr>
                <w:rFonts w:hint="eastAsia" w:eastAsia="宋体"/>
                <w:lang w:eastAsia="zh-CN"/>
              </w:rPr>
            </w:pPr>
            <w:r>
              <w:rPr>
                <w:rFonts w:hint="eastAsia"/>
                <w:lang w:val="en-US" w:eastAsia="zh-CN"/>
              </w:rPr>
              <w:t>1</w:t>
            </w:r>
          </w:p>
        </w:tc>
        <w:tc>
          <w:tcPr>
            <w:tcW w:w="420" w:type="pct"/>
            <w:noWrap w:val="0"/>
            <w:vAlign w:val="center"/>
          </w:tcPr>
          <w:p>
            <w:pPr>
              <w:pStyle w:val="30"/>
              <w:widowControl w:val="0"/>
              <w:spacing w:line="240" w:lineRule="auto"/>
            </w:pPr>
            <w:r>
              <w:t>0</w:t>
            </w:r>
          </w:p>
        </w:tc>
        <w:tc>
          <w:tcPr>
            <w:tcW w:w="622" w:type="pct"/>
            <w:noWrap w:val="0"/>
            <w:vAlign w:val="center"/>
          </w:tcPr>
          <w:p>
            <w:pPr>
              <w:pStyle w:val="30"/>
              <w:widowControl w:val="0"/>
              <w:spacing w:line="240" w:lineRule="auto"/>
              <w:rPr>
                <w:rFonts w:hint="eastAsia" w:eastAsia="宋体"/>
                <w:lang w:eastAsia="zh-CN"/>
              </w:rPr>
            </w:pPr>
            <w:r>
              <w:rPr>
                <w:rFonts w:hint="eastAsia"/>
                <w:lang w:val="en-US" w:eastAsia="zh-CN"/>
              </w:rPr>
              <w:t>1</w:t>
            </w:r>
          </w:p>
        </w:tc>
        <w:tc>
          <w:tcPr>
            <w:tcW w:w="551" w:type="pct"/>
            <w:noWrap w:val="0"/>
            <w:vAlign w:val="center"/>
          </w:tcPr>
          <w:p>
            <w:pPr>
              <w:pStyle w:val="30"/>
              <w:widowControl w:val="0"/>
              <w:spacing w:line="240" w:lineRule="auto"/>
              <w:rPr>
                <w:rFonts w:hint="eastAsia" w:eastAsia="宋体"/>
                <w:lang w:val="en-US" w:eastAsia="zh-CN"/>
              </w:rPr>
            </w:pPr>
            <w:r>
              <w:rPr>
                <w:rFonts w:hint="eastAsia"/>
                <w:lang w:val="en-US" w:eastAsia="zh-CN"/>
              </w:rPr>
              <w:t>5</w:t>
            </w:r>
            <w:r>
              <w:t>0</w:t>
            </w:r>
            <w:r>
              <w:rPr>
                <w:rFonts w:hint="eastAsia"/>
                <w:lang w:val="en-US" w:eastAsia="zh-CN"/>
              </w:rPr>
              <w:t>%</w:t>
            </w:r>
          </w:p>
        </w:tc>
        <w:tc>
          <w:tcPr>
            <w:tcW w:w="523" w:type="pct"/>
            <w:noWrap w:val="0"/>
            <w:vAlign w:val="center"/>
          </w:tcPr>
          <w:p>
            <w:pPr>
              <w:pStyle w:val="30"/>
              <w:widowControl w:val="0"/>
              <w:spacing w:line="240" w:lineRule="auto"/>
            </w:pPr>
            <w:r>
              <w:t>0</w:t>
            </w:r>
          </w:p>
        </w:tc>
        <w:tc>
          <w:tcPr>
            <w:tcW w:w="554" w:type="pct"/>
            <w:noWrap w:val="0"/>
            <w:vAlign w:val="center"/>
          </w:tcPr>
          <w:p>
            <w:pPr>
              <w:pStyle w:val="30"/>
              <w:widowControl w:val="0"/>
              <w:spacing w:line="240" w:lineRule="auto"/>
              <w:rPr>
                <w:rFonts w:hint="eastAsia" w:eastAsia="宋体"/>
                <w:lang w:val="en-US" w:eastAsia="zh-CN"/>
              </w:rPr>
            </w:pPr>
            <w:r>
              <w:rPr>
                <w:rFonts w:hint="eastAsia"/>
                <w:lang w:val="en-US" w:eastAsia="zh-CN"/>
              </w:rPr>
              <w:t>5</w:t>
            </w:r>
            <w:r>
              <w:t>0</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1" w:type="pct"/>
            <w:vMerge w:val="restart"/>
            <w:noWrap w:val="0"/>
            <w:vAlign w:val="center"/>
          </w:tcPr>
          <w:p>
            <w:pPr>
              <w:pStyle w:val="30"/>
              <w:widowControl w:val="0"/>
              <w:spacing w:line="240" w:lineRule="auto"/>
            </w:pPr>
            <w:r>
              <w:t>社会学</w:t>
            </w:r>
          </w:p>
        </w:tc>
        <w:tc>
          <w:tcPr>
            <w:tcW w:w="948" w:type="pct"/>
            <w:noWrap w:val="0"/>
            <w:vAlign w:val="center"/>
          </w:tcPr>
          <w:p>
            <w:pPr>
              <w:pStyle w:val="30"/>
              <w:widowControl w:val="0"/>
              <w:spacing w:line="240" w:lineRule="auto"/>
            </w:pPr>
            <w:r>
              <w:t>社会学</w:t>
            </w:r>
          </w:p>
        </w:tc>
        <w:tc>
          <w:tcPr>
            <w:tcW w:w="375" w:type="pct"/>
            <w:noWrap w:val="0"/>
            <w:vAlign w:val="center"/>
          </w:tcPr>
          <w:p>
            <w:pPr>
              <w:pStyle w:val="30"/>
              <w:widowControl w:val="0"/>
              <w:spacing w:line="240" w:lineRule="auto"/>
              <w:rPr>
                <w:rFonts w:hint="eastAsia" w:eastAsia="宋体"/>
                <w:lang w:eastAsia="zh-CN"/>
              </w:rPr>
            </w:pPr>
            <w:r>
              <w:rPr>
                <w:rFonts w:hint="eastAsia"/>
                <w:lang w:val="en-US" w:eastAsia="zh-CN"/>
              </w:rPr>
              <w:t>3</w:t>
            </w:r>
          </w:p>
        </w:tc>
        <w:tc>
          <w:tcPr>
            <w:tcW w:w="412" w:type="pct"/>
            <w:noWrap w:val="0"/>
            <w:vAlign w:val="center"/>
          </w:tcPr>
          <w:p>
            <w:pPr>
              <w:pStyle w:val="30"/>
              <w:widowControl w:val="0"/>
              <w:spacing w:line="240" w:lineRule="auto"/>
            </w:pPr>
            <w:r>
              <w:rPr>
                <w:rFonts w:hint="eastAsia"/>
              </w:rPr>
              <w:t>3</w:t>
            </w:r>
          </w:p>
        </w:tc>
        <w:tc>
          <w:tcPr>
            <w:tcW w:w="420" w:type="pct"/>
            <w:noWrap w:val="0"/>
            <w:vAlign w:val="center"/>
          </w:tcPr>
          <w:p>
            <w:pPr>
              <w:pStyle w:val="30"/>
              <w:widowControl w:val="0"/>
              <w:spacing w:line="240" w:lineRule="auto"/>
            </w:pPr>
            <w:r>
              <w:t>0</w:t>
            </w:r>
          </w:p>
        </w:tc>
        <w:tc>
          <w:tcPr>
            <w:tcW w:w="622" w:type="pct"/>
            <w:noWrap w:val="0"/>
            <w:vAlign w:val="center"/>
          </w:tcPr>
          <w:p>
            <w:pPr>
              <w:pStyle w:val="30"/>
              <w:widowControl w:val="0"/>
              <w:spacing w:line="240" w:lineRule="auto"/>
              <w:rPr>
                <w:rFonts w:hint="eastAsia" w:eastAsia="宋体"/>
                <w:lang w:eastAsia="zh-CN"/>
              </w:rPr>
            </w:pPr>
            <w:r>
              <w:rPr>
                <w:rFonts w:hint="eastAsia"/>
                <w:lang w:val="en-US" w:eastAsia="zh-CN"/>
              </w:rPr>
              <w:t>0</w:t>
            </w:r>
          </w:p>
        </w:tc>
        <w:tc>
          <w:tcPr>
            <w:tcW w:w="551" w:type="pct"/>
            <w:noWrap w:val="0"/>
            <w:vAlign w:val="center"/>
          </w:tcPr>
          <w:p>
            <w:pPr>
              <w:pStyle w:val="30"/>
              <w:widowControl w:val="0"/>
              <w:spacing w:line="240" w:lineRule="auto"/>
            </w:pPr>
            <w:r>
              <w:rPr>
                <w:rFonts w:hint="eastAsia"/>
              </w:rPr>
              <w:t>100</w:t>
            </w:r>
            <w:r>
              <w:rPr>
                <w:rFonts w:hint="eastAsia"/>
                <w:lang w:val="en-US" w:eastAsia="zh-CN"/>
              </w:rPr>
              <w:t>%</w:t>
            </w:r>
          </w:p>
        </w:tc>
        <w:tc>
          <w:tcPr>
            <w:tcW w:w="523" w:type="pct"/>
            <w:noWrap w:val="0"/>
            <w:vAlign w:val="center"/>
          </w:tcPr>
          <w:p>
            <w:pPr>
              <w:pStyle w:val="30"/>
              <w:widowControl w:val="0"/>
              <w:spacing w:line="240" w:lineRule="auto"/>
            </w:pPr>
            <w:r>
              <w:t>0</w:t>
            </w:r>
          </w:p>
        </w:tc>
        <w:tc>
          <w:tcPr>
            <w:tcW w:w="554" w:type="pct"/>
            <w:noWrap w:val="0"/>
            <w:vAlign w:val="center"/>
          </w:tcPr>
          <w:p>
            <w:pPr>
              <w:pStyle w:val="30"/>
              <w:widowControl w:val="0"/>
              <w:spacing w:line="240" w:lineRule="auto"/>
            </w:pPr>
            <w:r>
              <w:rPr>
                <w:rFonts w:hint="eastAsia"/>
              </w:rPr>
              <w:t>100</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1" w:type="pct"/>
            <w:vMerge w:val="continue"/>
            <w:noWrap w:val="0"/>
            <w:vAlign w:val="center"/>
          </w:tcPr>
          <w:p>
            <w:pPr>
              <w:pStyle w:val="30"/>
              <w:widowControl w:val="0"/>
              <w:spacing w:line="240" w:lineRule="auto"/>
            </w:pPr>
          </w:p>
        </w:tc>
        <w:tc>
          <w:tcPr>
            <w:tcW w:w="948" w:type="pct"/>
            <w:noWrap w:val="0"/>
            <w:vAlign w:val="center"/>
          </w:tcPr>
          <w:p>
            <w:pPr>
              <w:pStyle w:val="30"/>
              <w:widowControl w:val="0"/>
              <w:spacing w:line="240" w:lineRule="auto"/>
            </w:pPr>
            <w:r>
              <w:t>人口学</w:t>
            </w:r>
          </w:p>
        </w:tc>
        <w:tc>
          <w:tcPr>
            <w:tcW w:w="375" w:type="pct"/>
            <w:noWrap w:val="0"/>
            <w:vAlign w:val="center"/>
          </w:tcPr>
          <w:p>
            <w:pPr>
              <w:pStyle w:val="30"/>
              <w:widowControl w:val="0"/>
              <w:spacing w:line="240" w:lineRule="auto"/>
              <w:rPr>
                <w:rFonts w:hint="eastAsia" w:eastAsia="宋体"/>
                <w:lang w:eastAsia="zh-CN"/>
              </w:rPr>
            </w:pPr>
            <w:r>
              <w:rPr>
                <w:rFonts w:hint="eastAsia"/>
                <w:lang w:val="en-US" w:eastAsia="zh-CN"/>
              </w:rPr>
              <w:t>2</w:t>
            </w:r>
          </w:p>
        </w:tc>
        <w:tc>
          <w:tcPr>
            <w:tcW w:w="412" w:type="pct"/>
            <w:noWrap w:val="0"/>
            <w:vAlign w:val="center"/>
          </w:tcPr>
          <w:p>
            <w:pPr>
              <w:pStyle w:val="30"/>
              <w:widowControl w:val="0"/>
              <w:spacing w:line="240" w:lineRule="auto"/>
              <w:rPr>
                <w:rFonts w:hint="eastAsia" w:eastAsia="宋体"/>
                <w:lang w:eastAsia="zh-CN"/>
              </w:rPr>
            </w:pPr>
            <w:r>
              <w:rPr>
                <w:rFonts w:hint="eastAsia"/>
                <w:lang w:val="en-US" w:eastAsia="zh-CN"/>
              </w:rPr>
              <w:t>2</w:t>
            </w:r>
          </w:p>
        </w:tc>
        <w:tc>
          <w:tcPr>
            <w:tcW w:w="420" w:type="pct"/>
            <w:noWrap w:val="0"/>
            <w:vAlign w:val="center"/>
          </w:tcPr>
          <w:p>
            <w:pPr>
              <w:pStyle w:val="30"/>
              <w:widowControl w:val="0"/>
              <w:spacing w:line="240" w:lineRule="auto"/>
            </w:pPr>
            <w:r>
              <w:rPr>
                <w:rFonts w:hint="eastAsia"/>
              </w:rPr>
              <w:t>0</w:t>
            </w:r>
          </w:p>
        </w:tc>
        <w:tc>
          <w:tcPr>
            <w:tcW w:w="622" w:type="pct"/>
            <w:noWrap w:val="0"/>
            <w:vAlign w:val="center"/>
          </w:tcPr>
          <w:p>
            <w:pPr>
              <w:pStyle w:val="30"/>
              <w:widowControl w:val="0"/>
              <w:spacing w:line="240" w:lineRule="auto"/>
            </w:pPr>
            <w:r>
              <w:t>0</w:t>
            </w:r>
          </w:p>
        </w:tc>
        <w:tc>
          <w:tcPr>
            <w:tcW w:w="551" w:type="pct"/>
            <w:noWrap w:val="0"/>
            <w:vAlign w:val="center"/>
          </w:tcPr>
          <w:p>
            <w:pPr>
              <w:pStyle w:val="30"/>
              <w:widowControl w:val="0"/>
              <w:spacing w:line="240" w:lineRule="auto"/>
              <w:rPr>
                <w:rFonts w:hint="eastAsia" w:eastAsia="宋体"/>
                <w:lang w:val="en-US" w:eastAsia="zh-CN"/>
              </w:rPr>
            </w:pPr>
            <w:r>
              <w:rPr>
                <w:rFonts w:hint="eastAsia"/>
              </w:rPr>
              <w:t>10</w:t>
            </w:r>
            <w:r>
              <w:t>0</w:t>
            </w:r>
            <w:r>
              <w:rPr>
                <w:rFonts w:hint="eastAsia"/>
                <w:lang w:val="en-US" w:eastAsia="zh-CN"/>
              </w:rPr>
              <w:t>%</w:t>
            </w:r>
          </w:p>
        </w:tc>
        <w:tc>
          <w:tcPr>
            <w:tcW w:w="523" w:type="pct"/>
            <w:noWrap w:val="0"/>
            <w:vAlign w:val="center"/>
          </w:tcPr>
          <w:p>
            <w:pPr>
              <w:pStyle w:val="30"/>
              <w:widowControl w:val="0"/>
              <w:spacing w:line="240" w:lineRule="auto"/>
            </w:pPr>
            <w:r>
              <w:rPr>
                <w:rFonts w:hint="eastAsia"/>
              </w:rPr>
              <w:t>0</w:t>
            </w:r>
          </w:p>
        </w:tc>
        <w:tc>
          <w:tcPr>
            <w:tcW w:w="554" w:type="pct"/>
            <w:noWrap w:val="0"/>
            <w:vAlign w:val="center"/>
          </w:tcPr>
          <w:p>
            <w:pPr>
              <w:pStyle w:val="30"/>
              <w:widowControl w:val="0"/>
              <w:spacing w:line="240" w:lineRule="auto"/>
              <w:rPr>
                <w:rFonts w:hint="eastAsia" w:eastAsia="宋体"/>
                <w:lang w:val="en-US" w:eastAsia="zh-CN"/>
              </w:rPr>
            </w:pPr>
            <w:r>
              <w:t>100</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1" w:type="pct"/>
            <w:vMerge w:val="continue"/>
            <w:noWrap w:val="0"/>
            <w:vAlign w:val="center"/>
          </w:tcPr>
          <w:p>
            <w:pPr>
              <w:pStyle w:val="30"/>
              <w:widowControl w:val="0"/>
              <w:spacing w:line="240" w:lineRule="auto"/>
            </w:pPr>
          </w:p>
        </w:tc>
        <w:tc>
          <w:tcPr>
            <w:tcW w:w="948" w:type="pct"/>
            <w:noWrap w:val="0"/>
            <w:vAlign w:val="center"/>
          </w:tcPr>
          <w:p>
            <w:pPr>
              <w:pStyle w:val="30"/>
              <w:widowControl w:val="0"/>
              <w:spacing w:line="240" w:lineRule="auto"/>
            </w:pPr>
            <w:r>
              <w:t>民俗学</w:t>
            </w:r>
          </w:p>
        </w:tc>
        <w:tc>
          <w:tcPr>
            <w:tcW w:w="375" w:type="pct"/>
            <w:noWrap w:val="0"/>
            <w:vAlign w:val="center"/>
          </w:tcPr>
          <w:p>
            <w:pPr>
              <w:pStyle w:val="30"/>
              <w:widowControl w:val="0"/>
              <w:spacing w:line="240" w:lineRule="auto"/>
            </w:pPr>
            <w:r>
              <w:t>1</w:t>
            </w:r>
          </w:p>
        </w:tc>
        <w:tc>
          <w:tcPr>
            <w:tcW w:w="412" w:type="pct"/>
            <w:noWrap w:val="0"/>
            <w:vAlign w:val="center"/>
          </w:tcPr>
          <w:p>
            <w:pPr>
              <w:pStyle w:val="30"/>
              <w:widowControl w:val="0"/>
              <w:spacing w:line="240" w:lineRule="auto"/>
            </w:pPr>
            <w:r>
              <w:rPr>
                <w:rFonts w:hint="eastAsia"/>
              </w:rPr>
              <w:t>1</w:t>
            </w:r>
          </w:p>
        </w:tc>
        <w:tc>
          <w:tcPr>
            <w:tcW w:w="420" w:type="pct"/>
            <w:noWrap w:val="0"/>
            <w:vAlign w:val="center"/>
          </w:tcPr>
          <w:p>
            <w:pPr>
              <w:pStyle w:val="30"/>
              <w:widowControl w:val="0"/>
              <w:spacing w:line="240" w:lineRule="auto"/>
            </w:pPr>
            <w:r>
              <w:rPr>
                <w:rFonts w:hint="eastAsia"/>
              </w:rPr>
              <w:t>0</w:t>
            </w:r>
          </w:p>
        </w:tc>
        <w:tc>
          <w:tcPr>
            <w:tcW w:w="622" w:type="pct"/>
            <w:noWrap w:val="0"/>
            <w:vAlign w:val="center"/>
          </w:tcPr>
          <w:p>
            <w:pPr>
              <w:pStyle w:val="30"/>
              <w:widowControl w:val="0"/>
              <w:spacing w:line="240" w:lineRule="auto"/>
            </w:pPr>
            <w:r>
              <w:t>0</w:t>
            </w:r>
          </w:p>
        </w:tc>
        <w:tc>
          <w:tcPr>
            <w:tcW w:w="551" w:type="pct"/>
            <w:noWrap w:val="0"/>
            <w:vAlign w:val="center"/>
          </w:tcPr>
          <w:p>
            <w:pPr>
              <w:pStyle w:val="30"/>
              <w:widowControl w:val="0"/>
              <w:spacing w:line="240" w:lineRule="auto"/>
              <w:rPr>
                <w:rFonts w:hint="eastAsia" w:eastAsia="宋体"/>
                <w:lang w:val="en-US" w:eastAsia="zh-CN"/>
              </w:rPr>
            </w:pPr>
            <w:r>
              <w:rPr>
                <w:rFonts w:hint="eastAsia"/>
              </w:rPr>
              <w:t>10</w:t>
            </w:r>
            <w:r>
              <w:t>0</w:t>
            </w:r>
            <w:r>
              <w:rPr>
                <w:rFonts w:hint="eastAsia"/>
                <w:lang w:val="en-US" w:eastAsia="zh-CN"/>
              </w:rPr>
              <w:t>%</w:t>
            </w:r>
          </w:p>
        </w:tc>
        <w:tc>
          <w:tcPr>
            <w:tcW w:w="523" w:type="pct"/>
            <w:noWrap w:val="0"/>
            <w:vAlign w:val="center"/>
          </w:tcPr>
          <w:p>
            <w:pPr>
              <w:pStyle w:val="30"/>
              <w:widowControl w:val="0"/>
              <w:spacing w:line="240" w:lineRule="auto"/>
            </w:pPr>
            <w:r>
              <w:t>0</w:t>
            </w:r>
          </w:p>
        </w:tc>
        <w:tc>
          <w:tcPr>
            <w:tcW w:w="554" w:type="pct"/>
            <w:noWrap w:val="0"/>
            <w:vAlign w:val="center"/>
          </w:tcPr>
          <w:p>
            <w:pPr>
              <w:pStyle w:val="30"/>
              <w:widowControl w:val="0"/>
              <w:spacing w:line="240" w:lineRule="auto"/>
              <w:rPr>
                <w:rFonts w:hint="eastAsia" w:eastAsia="宋体"/>
                <w:lang w:val="en-US" w:eastAsia="zh-CN"/>
              </w:rPr>
            </w:pPr>
            <w:r>
              <w:t>100</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1" w:type="pct"/>
            <w:noWrap w:val="0"/>
            <w:vAlign w:val="center"/>
          </w:tcPr>
          <w:p>
            <w:pPr>
              <w:pStyle w:val="30"/>
              <w:widowControl w:val="0"/>
              <w:spacing w:line="240" w:lineRule="auto"/>
            </w:pPr>
            <w:r>
              <w:rPr>
                <w:rFonts w:hint="eastAsia"/>
              </w:rPr>
              <w:t>中国史</w:t>
            </w:r>
          </w:p>
        </w:tc>
        <w:tc>
          <w:tcPr>
            <w:tcW w:w="948" w:type="pct"/>
            <w:noWrap w:val="0"/>
            <w:vAlign w:val="center"/>
          </w:tcPr>
          <w:p>
            <w:pPr>
              <w:pStyle w:val="30"/>
              <w:widowControl w:val="0"/>
              <w:spacing w:line="240" w:lineRule="auto"/>
            </w:pPr>
            <w:r>
              <w:rPr>
                <w:rFonts w:hint="eastAsia"/>
              </w:rPr>
              <w:t>/</w:t>
            </w:r>
          </w:p>
        </w:tc>
        <w:tc>
          <w:tcPr>
            <w:tcW w:w="375" w:type="pct"/>
            <w:noWrap w:val="0"/>
            <w:vAlign w:val="center"/>
          </w:tcPr>
          <w:p>
            <w:pPr>
              <w:pStyle w:val="30"/>
              <w:widowControl w:val="0"/>
              <w:spacing w:line="240" w:lineRule="auto"/>
            </w:pPr>
            <w:r>
              <w:rPr>
                <w:rFonts w:hint="eastAsia"/>
              </w:rPr>
              <w:t>6</w:t>
            </w:r>
          </w:p>
        </w:tc>
        <w:tc>
          <w:tcPr>
            <w:tcW w:w="412" w:type="pct"/>
            <w:noWrap w:val="0"/>
            <w:vAlign w:val="center"/>
          </w:tcPr>
          <w:p>
            <w:pPr>
              <w:pStyle w:val="30"/>
              <w:widowControl w:val="0"/>
              <w:spacing w:line="240" w:lineRule="auto"/>
              <w:rPr>
                <w:rFonts w:hint="eastAsia" w:eastAsia="宋体"/>
                <w:lang w:eastAsia="zh-CN"/>
              </w:rPr>
            </w:pPr>
            <w:r>
              <w:rPr>
                <w:rFonts w:hint="eastAsia"/>
                <w:lang w:val="en-US" w:eastAsia="zh-CN"/>
              </w:rPr>
              <w:t>2</w:t>
            </w:r>
          </w:p>
        </w:tc>
        <w:tc>
          <w:tcPr>
            <w:tcW w:w="420" w:type="pct"/>
            <w:noWrap w:val="0"/>
            <w:vAlign w:val="center"/>
          </w:tcPr>
          <w:p>
            <w:pPr>
              <w:pStyle w:val="30"/>
              <w:widowControl w:val="0"/>
              <w:spacing w:line="240" w:lineRule="auto"/>
            </w:pPr>
            <w:r>
              <w:rPr>
                <w:rFonts w:hint="eastAsia"/>
              </w:rPr>
              <w:t>2</w:t>
            </w:r>
          </w:p>
        </w:tc>
        <w:tc>
          <w:tcPr>
            <w:tcW w:w="622" w:type="pct"/>
            <w:noWrap w:val="0"/>
            <w:vAlign w:val="center"/>
          </w:tcPr>
          <w:p>
            <w:pPr>
              <w:pStyle w:val="30"/>
              <w:widowControl w:val="0"/>
              <w:spacing w:line="240" w:lineRule="auto"/>
              <w:rPr>
                <w:rFonts w:hint="eastAsia" w:eastAsia="宋体"/>
                <w:lang w:eastAsia="zh-CN"/>
              </w:rPr>
            </w:pPr>
            <w:r>
              <w:rPr>
                <w:rFonts w:hint="eastAsia"/>
                <w:lang w:val="en-US" w:eastAsia="zh-CN"/>
              </w:rPr>
              <w:t>2</w:t>
            </w:r>
          </w:p>
        </w:tc>
        <w:tc>
          <w:tcPr>
            <w:tcW w:w="940" w:type="dxa"/>
            <w:noWrap w:val="0"/>
            <w:vAlign w:val="center"/>
          </w:tcPr>
          <w:p>
            <w:pPr>
              <w:keepNext w:val="0"/>
              <w:keepLines w:val="0"/>
              <w:widowControl w:val="0"/>
              <w:suppressLineNumbers w:val="0"/>
              <w:spacing w:line="240" w:lineRule="auto"/>
              <w:ind w:firstLine="0" w:firstLineChars="0"/>
              <w:jc w:val="center"/>
              <w:textAlignment w:val="bottom"/>
              <w:rPr>
                <w:rFonts w:hint="eastAsia"/>
                <w:kern w:val="0"/>
                <w:sz w:val="21"/>
                <w:szCs w:val="24"/>
              </w:rPr>
            </w:pPr>
            <w:r>
              <w:rPr>
                <w:rFonts w:hint="eastAsia" w:ascii="Times New Roman" w:hAnsi="Times New Roman" w:eastAsia="宋体" w:cs="Times New Roman"/>
                <w:b w:val="0"/>
                <w:bCs w:val="0"/>
                <w:i w:val="0"/>
                <w:color w:val="auto"/>
                <w:kern w:val="0"/>
                <w:sz w:val="21"/>
                <w:szCs w:val="24"/>
                <w:u w:val="none"/>
                <w:lang w:val="en-US" w:eastAsia="zh-CN" w:bidi="ar-SA"/>
              </w:rPr>
              <w:t>33.33%</w:t>
            </w:r>
          </w:p>
        </w:tc>
        <w:tc>
          <w:tcPr>
            <w:tcW w:w="891" w:type="dxa"/>
            <w:noWrap w:val="0"/>
            <w:vAlign w:val="center"/>
          </w:tcPr>
          <w:p>
            <w:pPr>
              <w:spacing w:line="240" w:lineRule="auto"/>
              <w:ind w:firstLine="0" w:firstLineChars="0"/>
              <w:jc w:val="center"/>
              <w:rPr>
                <w:rFonts w:hint="eastAsia"/>
                <w:kern w:val="0"/>
                <w:sz w:val="21"/>
                <w:szCs w:val="24"/>
              </w:rPr>
            </w:pPr>
            <w:r>
              <w:rPr>
                <w:rFonts w:hint="eastAsia" w:ascii="Times New Roman" w:hAnsi="Times New Roman" w:eastAsia="宋体" w:cs="Times New Roman"/>
                <w:b w:val="0"/>
                <w:bCs w:val="0"/>
                <w:kern w:val="0"/>
                <w:sz w:val="21"/>
                <w:szCs w:val="24"/>
                <w:vertAlign w:val="baseline"/>
                <w:lang w:val="en-US" w:eastAsia="zh-CN" w:bidi="ar-SA"/>
              </w:rPr>
              <w:t>33.33%</w:t>
            </w:r>
          </w:p>
        </w:tc>
        <w:tc>
          <w:tcPr>
            <w:tcW w:w="944" w:type="dxa"/>
            <w:noWrap w:val="0"/>
            <w:vAlign w:val="center"/>
          </w:tcPr>
          <w:p>
            <w:pPr>
              <w:spacing w:line="240" w:lineRule="auto"/>
              <w:ind w:firstLine="0" w:firstLineChars="0"/>
              <w:jc w:val="center"/>
              <w:rPr>
                <w:rFonts w:hint="eastAsia"/>
                <w:kern w:val="0"/>
                <w:sz w:val="21"/>
                <w:szCs w:val="24"/>
              </w:rPr>
            </w:pPr>
            <w:r>
              <w:rPr>
                <w:rFonts w:hint="eastAsia" w:ascii="Times New Roman" w:hAnsi="Times New Roman" w:eastAsia="宋体" w:cs="Times New Roman"/>
                <w:b w:val="0"/>
                <w:bCs w:val="0"/>
                <w:kern w:val="0"/>
                <w:sz w:val="21"/>
                <w:szCs w:val="24"/>
                <w:vertAlign w:val="baseline"/>
                <w:lang w:val="en-US" w:eastAsia="zh-CN"/>
              </w:rPr>
              <w:t>66.67%</w:t>
            </w:r>
          </w:p>
        </w:tc>
      </w:tr>
    </w:tbl>
    <w:p>
      <w:pPr>
        <w:spacing w:before="157" w:beforeLines="50" w:after="157" w:afterLines="50" w:line="240" w:lineRule="auto"/>
        <w:ind w:firstLine="480"/>
        <w:jc w:val="left"/>
        <w:rPr>
          <w:rFonts w:hint="eastAsia" w:eastAsia="仿宋"/>
          <w:sz w:val="21"/>
          <w:szCs w:val="21"/>
        </w:rPr>
      </w:pPr>
      <w:r>
        <w:rPr>
          <w:rFonts w:eastAsia="仿宋"/>
          <w:sz w:val="21"/>
          <w:szCs w:val="21"/>
        </w:rPr>
        <w:t>注：统计时间截至202</w:t>
      </w:r>
      <w:r>
        <w:rPr>
          <w:rFonts w:hint="eastAsia" w:eastAsia="仿宋"/>
          <w:sz w:val="21"/>
          <w:szCs w:val="21"/>
          <w:lang w:val="en-US" w:eastAsia="zh-CN"/>
        </w:rPr>
        <w:t>4</w:t>
      </w:r>
      <w:r>
        <w:rPr>
          <w:rFonts w:eastAsia="仿宋"/>
          <w:sz w:val="21"/>
          <w:szCs w:val="21"/>
        </w:rPr>
        <w:t>年</w:t>
      </w:r>
      <w:r>
        <w:rPr>
          <w:rFonts w:hint="eastAsia" w:eastAsia="仿宋"/>
          <w:sz w:val="21"/>
          <w:szCs w:val="21"/>
        </w:rPr>
        <w:t>2月</w:t>
      </w:r>
      <w:r>
        <w:rPr>
          <w:rFonts w:eastAsia="仿宋"/>
          <w:sz w:val="21"/>
          <w:szCs w:val="21"/>
        </w:rPr>
        <w:t>。</w:t>
      </w:r>
    </w:p>
    <w:p>
      <w:pPr>
        <w:pStyle w:val="4"/>
        <w:keepNext w:val="0"/>
        <w:keepLines w:val="0"/>
        <w:widowControl w:val="0"/>
        <w:ind w:firstLine="602" w:firstLineChars="200"/>
        <w:rPr>
          <w:rFonts w:hint="eastAsia"/>
        </w:rPr>
      </w:pPr>
      <w:bookmarkStart w:id="45" w:name="_Toc67497675"/>
      <w:bookmarkStart w:id="46" w:name="_Toc127791865"/>
      <w:bookmarkStart w:id="47" w:name="_Toc67497712"/>
      <w:bookmarkStart w:id="48" w:name="_Toc23592"/>
      <w:bookmarkStart w:id="49" w:name="_Toc14506"/>
      <w:bookmarkStart w:id="50" w:name="_Toc10725"/>
      <w:bookmarkStart w:id="51" w:name="_Toc32448"/>
      <w:bookmarkStart w:id="52" w:name="_Toc14359"/>
      <w:r>
        <w:rPr>
          <w:rFonts w:hint="eastAsia"/>
        </w:rPr>
        <w:t>（四）研究生导师状况</w:t>
      </w:r>
      <w:bookmarkEnd w:id="45"/>
      <w:bookmarkEnd w:id="46"/>
      <w:bookmarkEnd w:id="47"/>
      <w:bookmarkEnd w:id="48"/>
      <w:bookmarkEnd w:id="49"/>
      <w:bookmarkEnd w:id="50"/>
      <w:bookmarkEnd w:id="51"/>
      <w:bookmarkEnd w:id="52"/>
    </w:p>
    <w:p>
      <w:pPr>
        <w:ind w:firstLine="480"/>
        <w:rPr>
          <w:rFonts w:hint="eastAsia"/>
        </w:rPr>
      </w:pPr>
      <w:r>
        <w:rPr>
          <w:rFonts w:hint="eastAsia"/>
          <w:highlight w:val="none"/>
          <w:lang w:val="en-US" w:eastAsia="zh-CN"/>
        </w:rPr>
        <w:t>截至2023年底，我院硕士生导师共计85名，</w:t>
      </w:r>
      <w:r>
        <w:rPr>
          <w:rFonts w:hint="eastAsia"/>
          <w:highlight w:val="none"/>
        </w:rPr>
        <w:t>与在校生比例接近1:1。</w:t>
      </w:r>
      <w:r>
        <w:rPr>
          <w:rFonts w:hint="eastAsia"/>
        </w:rPr>
        <w:t>从职称结构看，</w:t>
      </w:r>
      <w:r>
        <w:rPr>
          <w:rFonts w:hint="eastAsia"/>
          <w:highlight w:val="none"/>
        </w:rPr>
        <w:t>正高职称4</w:t>
      </w:r>
      <w:r>
        <w:rPr>
          <w:rFonts w:hint="eastAsia"/>
          <w:highlight w:val="none"/>
          <w:lang w:val="en-US" w:eastAsia="zh-CN"/>
        </w:rPr>
        <w:t>4</w:t>
      </w:r>
      <w:r>
        <w:rPr>
          <w:rFonts w:hint="eastAsia"/>
          <w:highlight w:val="none"/>
        </w:rPr>
        <w:t>位，占比</w:t>
      </w:r>
      <w:r>
        <w:rPr>
          <w:rFonts w:hint="eastAsia"/>
          <w:highlight w:val="none"/>
          <w:lang w:eastAsia="zh-CN"/>
        </w:rPr>
        <w:t>5</w:t>
      </w:r>
      <w:r>
        <w:rPr>
          <w:rFonts w:hint="eastAsia"/>
          <w:highlight w:val="none"/>
          <w:lang w:val="en-US" w:eastAsia="zh-CN"/>
        </w:rPr>
        <w:t>1.76</w:t>
      </w:r>
      <w:r>
        <w:rPr>
          <w:rFonts w:hint="eastAsia"/>
          <w:highlight w:val="none"/>
        </w:rPr>
        <w:t>%；副高职称</w:t>
      </w:r>
      <w:r>
        <w:rPr>
          <w:rFonts w:hint="eastAsia"/>
          <w:highlight w:val="none"/>
          <w:lang w:eastAsia="zh-CN"/>
        </w:rPr>
        <w:t>3</w:t>
      </w:r>
      <w:r>
        <w:rPr>
          <w:rFonts w:hint="eastAsia"/>
          <w:highlight w:val="none"/>
          <w:lang w:val="en-US" w:eastAsia="zh-CN"/>
        </w:rPr>
        <w:t>0</w:t>
      </w:r>
      <w:r>
        <w:rPr>
          <w:rFonts w:hint="eastAsia"/>
          <w:highlight w:val="none"/>
        </w:rPr>
        <w:t>位，占比</w:t>
      </w:r>
      <w:r>
        <w:rPr>
          <w:rFonts w:hint="eastAsia"/>
          <w:highlight w:val="none"/>
          <w:lang w:eastAsia="zh-CN"/>
        </w:rPr>
        <w:t>3</w:t>
      </w:r>
      <w:r>
        <w:rPr>
          <w:rFonts w:hint="eastAsia"/>
          <w:highlight w:val="none"/>
          <w:lang w:val="en-US" w:eastAsia="zh-CN"/>
        </w:rPr>
        <w:t>5.29</w:t>
      </w:r>
      <w:r>
        <w:rPr>
          <w:rFonts w:hint="eastAsia"/>
          <w:highlight w:val="none"/>
        </w:rPr>
        <w:t>%；</w:t>
      </w:r>
      <w:r>
        <w:rPr>
          <w:rFonts w:hint="eastAsia"/>
          <w:highlight w:val="none"/>
          <w:lang w:val="en-US" w:eastAsia="zh-CN"/>
        </w:rPr>
        <w:t>中级职称11位</w:t>
      </w:r>
      <w:r>
        <w:rPr>
          <w:rFonts w:hint="eastAsia"/>
          <w:highlight w:val="none"/>
        </w:rPr>
        <w:t>，占比</w:t>
      </w:r>
      <w:r>
        <w:rPr>
          <w:rFonts w:hint="eastAsia"/>
          <w:highlight w:val="none"/>
          <w:lang w:eastAsia="zh-CN"/>
        </w:rPr>
        <w:t>1</w:t>
      </w:r>
      <w:r>
        <w:rPr>
          <w:rFonts w:hint="eastAsia"/>
          <w:highlight w:val="none"/>
          <w:lang w:val="en-US" w:eastAsia="zh-CN"/>
        </w:rPr>
        <w:t>2.94</w:t>
      </w:r>
      <w:r>
        <w:rPr>
          <w:rFonts w:hint="eastAsia"/>
          <w:highlight w:val="none"/>
        </w:rPr>
        <w:t>%。</w:t>
      </w:r>
      <w:r>
        <w:rPr>
          <w:rFonts w:hint="eastAsia"/>
        </w:rPr>
        <w:t>从年龄结构看，</w:t>
      </w:r>
      <w:r>
        <w:rPr>
          <w:rFonts w:hint="eastAsia"/>
          <w:highlight w:val="none"/>
        </w:rPr>
        <w:t>26-35岁导师</w:t>
      </w:r>
      <w:r>
        <w:rPr>
          <w:rFonts w:hint="eastAsia"/>
          <w:highlight w:val="none"/>
          <w:lang w:eastAsia="zh-CN"/>
        </w:rPr>
        <w:t>8</w:t>
      </w:r>
      <w:r>
        <w:rPr>
          <w:rFonts w:hint="eastAsia"/>
          <w:highlight w:val="none"/>
        </w:rPr>
        <w:t>名，占比</w:t>
      </w:r>
      <w:r>
        <w:rPr>
          <w:rFonts w:hint="eastAsia"/>
          <w:highlight w:val="none"/>
          <w:lang w:eastAsia="zh-CN"/>
        </w:rPr>
        <w:t>9</w:t>
      </w:r>
      <w:r>
        <w:rPr>
          <w:rFonts w:hint="eastAsia"/>
          <w:highlight w:val="none"/>
          <w:lang w:val="en-US" w:eastAsia="zh-CN"/>
        </w:rPr>
        <w:t>.41</w:t>
      </w:r>
      <w:r>
        <w:rPr>
          <w:rFonts w:hint="eastAsia"/>
          <w:highlight w:val="none"/>
        </w:rPr>
        <w:t>%；36-45岁导师</w:t>
      </w:r>
      <w:r>
        <w:rPr>
          <w:rFonts w:hint="eastAsia"/>
          <w:highlight w:val="none"/>
          <w:lang w:eastAsia="zh-CN"/>
        </w:rPr>
        <w:t>4</w:t>
      </w:r>
      <w:r>
        <w:rPr>
          <w:rFonts w:hint="eastAsia"/>
          <w:highlight w:val="none"/>
          <w:lang w:val="en-US" w:eastAsia="zh-CN"/>
        </w:rPr>
        <w:t>1</w:t>
      </w:r>
      <w:r>
        <w:rPr>
          <w:rFonts w:hint="eastAsia"/>
          <w:highlight w:val="none"/>
        </w:rPr>
        <w:t>名，占比</w:t>
      </w:r>
      <w:r>
        <w:rPr>
          <w:rFonts w:hint="eastAsia"/>
          <w:highlight w:val="none"/>
          <w:lang w:eastAsia="zh-CN"/>
        </w:rPr>
        <w:t>4</w:t>
      </w:r>
      <w:r>
        <w:rPr>
          <w:rFonts w:hint="eastAsia"/>
          <w:highlight w:val="none"/>
          <w:lang w:val="en-US" w:eastAsia="zh-CN"/>
        </w:rPr>
        <w:t>8.24</w:t>
      </w:r>
      <w:r>
        <w:rPr>
          <w:rFonts w:hint="eastAsia"/>
          <w:highlight w:val="none"/>
        </w:rPr>
        <w:t>%；46-59岁以下</w:t>
      </w:r>
      <w:r>
        <w:rPr>
          <w:rFonts w:hint="eastAsia"/>
          <w:highlight w:val="none"/>
          <w:lang w:eastAsia="zh-CN"/>
        </w:rPr>
        <w:t>3</w:t>
      </w:r>
      <w:r>
        <w:rPr>
          <w:rFonts w:hint="eastAsia"/>
          <w:highlight w:val="none"/>
          <w:lang w:val="en-US" w:eastAsia="zh-CN"/>
        </w:rPr>
        <w:t>0</w:t>
      </w:r>
      <w:r>
        <w:rPr>
          <w:rFonts w:hint="eastAsia"/>
          <w:highlight w:val="none"/>
        </w:rPr>
        <w:t>名，占比</w:t>
      </w:r>
      <w:r>
        <w:rPr>
          <w:rFonts w:hint="eastAsia"/>
          <w:highlight w:val="none"/>
          <w:lang w:eastAsia="zh-CN"/>
        </w:rPr>
        <w:t>3</w:t>
      </w:r>
      <w:r>
        <w:rPr>
          <w:rFonts w:hint="eastAsia"/>
          <w:highlight w:val="none"/>
          <w:lang w:val="en-US" w:eastAsia="zh-CN"/>
        </w:rPr>
        <w:t>5.29</w:t>
      </w:r>
      <w:r>
        <w:rPr>
          <w:rFonts w:hint="eastAsia"/>
          <w:highlight w:val="none"/>
        </w:rPr>
        <w:t>%；60岁及以上6名，占比</w:t>
      </w:r>
      <w:r>
        <w:rPr>
          <w:rFonts w:hint="eastAsia"/>
          <w:highlight w:val="none"/>
          <w:lang w:eastAsia="zh-CN"/>
        </w:rPr>
        <w:t>7</w:t>
      </w:r>
      <w:r>
        <w:rPr>
          <w:rFonts w:hint="eastAsia"/>
          <w:highlight w:val="none"/>
          <w:lang w:val="en-US" w:eastAsia="zh-CN"/>
        </w:rPr>
        <w:t>.06</w:t>
      </w:r>
      <w:r>
        <w:rPr>
          <w:rFonts w:hint="eastAsia"/>
          <w:highlight w:val="none"/>
        </w:rPr>
        <w:t>%。</w:t>
      </w:r>
      <w:r>
        <w:rPr>
          <w:rFonts w:hint="eastAsia"/>
        </w:rPr>
        <w:t>表6显示，我院各学科师资力量雄厚，满足</w:t>
      </w:r>
      <w:r>
        <w:rPr>
          <w:rFonts w:hint="eastAsia"/>
          <w:lang w:eastAsia="zh-CN"/>
        </w:rPr>
        <w:t>研究生培养</w:t>
      </w:r>
      <w:r>
        <w:rPr>
          <w:rFonts w:hint="eastAsia"/>
        </w:rPr>
        <w:t>需求。</w:t>
      </w:r>
    </w:p>
    <w:p>
      <w:pPr>
        <w:pStyle w:val="6"/>
        <w:keepNext w:val="0"/>
        <w:keepLines w:val="0"/>
        <w:spacing w:before="95" w:beforeLines="30" w:after="157" w:afterLines="50" w:line="240" w:lineRule="auto"/>
        <w:rPr>
          <w:rFonts w:hint="default" w:ascii="Times New Roman" w:hAnsi="Times New Roman"/>
          <w:b/>
          <w:bCs w:val="0"/>
        </w:rPr>
      </w:pPr>
      <w:bookmarkStart w:id="53" w:name="_Toc21614"/>
      <w:bookmarkStart w:id="54" w:name="_Toc20384"/>
      <w:r>
        <w:rPr>
          <w:rFonts w:hint="default" w:ascii="Times New Roman" w:hAnsi="Times New Roman"/>
          <w:b/>
          <w:bCs w:val="0"/>
        </w:rPr>
        <w:t>表</w:t>
      </w:r>
      <w:r>
        <w:rPr>
          <w:rFonts w:hint="default" w:ascii="Times New Roman" w:hAnsi="Times New Roman"/>
          <w:b/>
          <w:bCs w:val="0"/>
        </w:rPr>
        <w:fldChar w:fldCharType="begin"/>
      </w:r>
      <w:r>
        <w:rPr>
          <w:rFonts w:hint="default" w:ascii="Times New Roman" w:hAnsi="Times New Roman"/>
          <w:b/>
          <w:bCs w:val="0"/>
        </w:rPr>
        <w:instrText xml:space="preserve"> SEQ 表 \* ARABIC </w:instrText>
      </w:r>
      <w:r>
        <w:rPr>
          <w:rFonts w:hint="default" w:ascii="Times New Roman" w:hAnsi="Times New Roman"/>
          <w:b/>
          <w:bCs w:val="0"/>
        </w:rPr>
        <w:fldChar w:fldCharType="separate"/>
      </w:r>
      <w:r>
        <w:rPr>
          <w:rFonts w:ascii="Times New Roman" w:hAnsi="Times New Roman"/>
          <w:b/>
          <w:bCs w:val="0"/>
        </w:rPr>
        <w:t>6</w:t>
      </w:r>
      <w:r>
        <w:rPr>
          <w:rFonts w:hint="default" w:ascii="Times New Roman" w:hAnsi="Times New Roman"/>
          <w:b/>
          <w:bCs w:val="0"/>
        </w:rPr>
        <w:fldChar w:fldCharType="end"/>
      </w:r>
      <w:r>
        <w:rPr>
          <w:rFonts w:hint="default" w:ascii="Times New Roman" w:hAnsi="Times New Roman"/>
          <w:b/>
          <w:bCs w:val="0"/>
        </w:rPr>
        <w:t xml:space="preserve">  202</w:t>
      </w:r>
      <w:r>
        <w:rPr>
          <w:rFonts w:hint="eastAsia" w:ascii="Times New Roman" w:hAnsi="Times New Roman"/>
          <w:b/>
          <w:bCs w:val="0"/>
          <w:lang w:eastAsia="zh-CN"/>
        </w:rPr>
        <w:t>3</w:t>
      </w:r>
      <w:r>
        <w:rPr>
          <w:rFonts w:hint="default" w:ascii="Times New Roman" w:hAnsi="Times New Roman"/>
          <w:b/>
          <w:bCs w:val="0"/>
        </w:rPr>
        <w:t>年研究生导师分布情况</w:t>
      </w:r>
      <w:bookmarkEnd w:id="53"/>
      <w:bookmarkEnd w:id="54"/>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9"/>
        <w:gridCol w:w="2558"/>
        <w:gridCol w:w="1178"/>
        <w:gridCol w:w="1703"/>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pct"/>
            <w:noWrap w:val="0"/>
            <w:vAlign w:val="center"/>
          </w:tcPr>
          <w:p>
            <w:pPr>
              <w:pStyle w:val="30"/>
              <w:widowControl w:val="0"/>
              <w:spacing w:line="240" w:lineRule="auto"/>
            </w:pPr>
            <w:r>
              <w:t>一级学科</w:t>
            </w:r>
          </w:p>
        </w:tc>
        <w:tc>
          <w:tcPr>
            <w:tcW w:w="1500" w:type="pct"/>
            <w:noWrap w:val="0"/>
            <w:vAlign w:val="center"/>
          </w:tcPr>
          <w:p>
            <w:pPr>
              <w:pStyle w:val="30"/>
              <w:widowControl w:val="0"/>
              <w:spacing w:line="240" w:lineRule="auto"/>
            </w:pPr>
            <w:r>
              <w:t>二级学科</w:t>
            </w:r>
          </w:p>
        </w:tc>
        <w:tc>
          <w:tcPr>
            <w:tcW w:w="691" w:type="pct"/>
            <w:noWrap w:val="0"/>
            <w:vAlign w:val="center"/>
          </w:tcPr>
          <w:p>
            <w:pPr>
              <w:pStyle w:val="30"/>
              <w:widowControl w:val="0"/>
              <w:spacing w:line="240" w:lineRule="auto"/>
            </w:pPr>
            <w:r>
              <w:t>正高（人）</w:t>
            </w:r>
          </w:p>
        </w:tc>
        <w:tc>
          <w:tcPr>
            <w:tcW w:w="999" w:type="pct"/>
            <w:noWrap w:val="0"/>
            <w:vAlign w:val="center"/>
          </w:tcPr>
          <w:p>
            <w:pPr>
              <w:pStyle w:val="30"/>
              <w:widowControl w:val="0"/>
              <w:spacing w:line="240" w:lineRule="auto"/>
            </w:pPr>
            <w:r>
              <w:t>副高（人）</w:t>
            </w:r>
          </w:p>
        </w:tc>
        <w:tc>
          <w:tcPr>
            <w:tcW w:w="999" w:type="pct"/>
            <w:noWrap w:val="0"/>
            <w:vAlign w:val="top"/>
          </w:tcPr>
          <w:p>
            <w:pPr>
              <w:pStyle w:val="30"/>
              <w:widowControl w:val="0"/>
              <w:spacing w:line="240" w:lineRule="auto"/>
            </w:pPr>
            <w:r>
              <w:t>中级（人）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pct"/>
            <w:vMerge w:val="restart"/>
            <w:noWrap w:val="0"/>
            <w:vAlign w:val="center"/>
          </w:tcPr>
          <w:p>
            <w:pPr>
              <w:pStyle w:val="30"/>
              <w:widowControl w:val="0"/>
              <w:spacing w:line="240" w:lineRule="auto"/>
            </w:pPr>
            <w:r>
              <w:t>理论经济学</w:t>
            </w:r>
          </w:p>
        </w:tc>
        <w:tc>
          <w:tcPr>
            <w:tcW w:w="1500" w:type="pct"/>
            <w:noWrap w:val="0"/>
            <w:vAlign w:val="center"/>
          </w:tcPr>
          <w:p>
            <w:pPr>
              <w:pStyle w:val="30"/>
              <w:widowControl w:val="0"/>
              <w:spacing w:line="240" w:lineRule="auto"/>
            </w:pPr>
            <w:r>
              <w:t>政治经济学</w:t>
            </w:r>
          </w:p>
        </w:tc>
        <w:tc>
          <w:tcPr>
            <w:tcW w:w="691" w:type="pct"/>
            <w:noWrap w:val="0"/>
            <w:vAlign w:val="center"/>
          </w:tcPr>
          <w:p>
            <w:pPr>
              <w:pStyle w:val="30"/>
              <w:widowControl w:val="0"/>
              <w:spacing w:line="240" w:lineRule="auto"/>
              <w:rPr>
                <w:rFonts w:hint="eastAsia" w:eastAsia="宋体"/>
                <w:lang w:eastAsia="zh-CN"/>
              </w:rPr>
            </w:pPr>
            <w:r>
              <w:rPr>
                <w:rFonts w:hint="eastAsia"/>
                <w:lang w:val="en-US" w:eastAsia="zh-CN"/>
              </w:rPr>
              <w:t>3</w:t>
            </w:r>
          </w:p>
        </w:tc>
        <w:tc>
          <w:tcPr>
            <w:tcW w:w="999" w:type="pct"/>
            <w:noWrap w:val="0"/>
            <w:vAlign w:val="center"/>
          </w:tcPr>
          <w:p>
            <w:pPr>
              <w:pStyle w:val="30"/>
              <w:widowControl w:val="0"/>
              <w:spacing w:line="240" w:lineRule="auto"/>
              <w:rPr>
                <w:rFonts w:hint="eastAsia" w:eastAsia="宋体"/>
                <w:lang w:eastAsia="zh-CN"/>
              </w:rPr>
            </w:pPr>
            <w:r>
              <w:rPr>
                <w:rFonts w:hint="eastAsia"/>
                <w:lang w:val="en-US" w:eastAsia="zh-CN"/>
              </w:rPr>
              <w:t>4</w:t>
            </w:r>
          </w:p>
        </w:tc>
        <w:tc>
          <w:tcPr>
            <w:tcW w:w="999" w:type="pct"/>
            <w:noWrap w:val="0"/>
            <w:vAlign w:val="top"/>
          </w:tcPr>
          <w:p>
            <w:pPr>
              <w:pStyle w:val="30"/>
              <w:widowControl w:val="0"/>
              <w:spacing w:line="240" w:lineRule="auto"/>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pct"/>
            <w:vMerge w:val="continue"/>
            <w:noWrap w:val="0"/>
            <w:vAlign w:val="center"/>
          </w:tcPr>
          <w:p>
            <w:pPr>
              <w:pStyle w:val="30"/>
              <w:widowControl w:val="0"/>
              <w:spacing w:line="240" w:lineRule="auto"/>
            </w:pPr>
          </w:p>
        </w:tc>
        <w:tc>
          <w:tcPr>
            <w:tcW w:w="1500" w:type="pct"/>
            <w:noWrap w:val="0"/>
            <w:vAlign w:val="center"/>
          </w:tcPr>
          <w:p>
            <w:pPr>
              <w:pStyle w:val="30"/>
              <w:widowControl w:val="0"/>
              <w:spacing w:line="240" w:lineRule="auto"/>
            </w:pPr>
            <w:r>
              <w:t>西方经济学</w:t>
            </w:r>
          </w:p>
        </w:tc>
        <w:tc>
          <w:tcPr>
            <w:tcW w:w="691" w:type="pct"/>
            <w:noWrap w:val="0"/>
            <w:vAlign w:val="center"/>
          </w:tcPr>
          <w:p>
            <w:pPr>
              <w:pStyle w:val="30"/>
              <w:widowControl w:val="0"/>
              <w:spacing w:line="240" w:lineRule="auto"/>
              <w:rPr>
                <w:rFonts w:hint="eastAsia" w:eastAsia="宋体"/>
                <w:lang w:eastAsia="zh-CN"/>
              </w:rPr>
            </w:pPr>
            <w:r>
              <w:rPr>
                <w:rFonts w:hint="eastAsia"/>
                <w:lang w:val="en-US" w:eastAsia="zh-CN"/>
              </w:rPr>
              <w:t>3</w:t>
            </w:r>
          </w:p>
        </w:tc>
        <w:tc>
          <w:tcPr>
            <w:tcW w:w="999" w:type="pct"/>
            <w:noWrap w:val="0"/>
            <w:vAlign w:val="center"/>
          </w:tcPr>
          <w:p>
            <w:pPr>
              <w:pStyle w:val="30"/>
              <w:widowControl w:val="0"/>
              <w:spacing w:line="240" w:lineRule="auto"/>
              <w:rPr>
                <w:rFonts w:hint="eastAsia" w:eastAsia="宋体"/>
                <w:lang w:eastAsia="zh-CN"/>
              </w:rPr>
            </w:pPr>
            <w:r>
              <w:rPr>
                <w:rFonts w:hint="eastAsia"/>
                <w:lang w:val="en-US" w:eastAsia="zh-CN"/>
              </w:rPr>
              <w:t>2</w:t>
            </w:r>
          </w:p>
        </w:tc>
        <w:tc>
          <w:tcPr>
            <w:tcW w:w="999" w:type="pct"/>
            <w:noWrap w:val="0"/>
            <w:vAlign w:val="top"/>
          </w:tcPr>
          <w:p>
            <w:pPr>
              <w:pStyle w:val="30"/>
              <w:widowControl w:val="0"/>
              <w:spacing w:line="240" w:lineRule="auto"/>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pct"/>
            <w:vMerge w:val="continue"/>
            <w:noWrap w:val="0"/>
            <w:vAlign w:val="center"/>
          </w:tcPr>
          <w:p>
            <w:pPr>
              <w:pStyle w:val="30"/>
              <w:widowControl w:val="0"/>
              <w:spacing w:line="240" w:lineRule="auto"/>
            </w:pPr>
          </w:p>
        </w:tc>
        <w:tc>
          <w:tcPr>
            <w:tcW w:w="1500" w:type="pct"/>
            <w:noWrap w:val="0"/>
            <w:vAlign w:val="center"/>
          </w:tcPr>
          <w:p>
            <w:pPr>
              <w:pStyle w:val="30"/>
              <w:widowControl w:val="0"/>
              <w:spacing w:line="240" w:lineRule="auto"/>
            </w:pPr>
            <w:r>
              <w:t>人口、资源与环境经济学</w:t>
            </w:r>
          </w:p>
        </w:tc>
        <w:tc>
          <w:tcPr>
            <w:tcW w:w="691" w:type="pct"/>
            <w:noWrap w:val="0"/>
            <w:vAlign w:val="center"/>
          </w:tcPr>
          <w:p>
            <w:pPr>
              <w:pStyle w:val="30"/>
              <w:widowControl w:val="0"/>
              <w:spacing w:line="240" w:lineRule="auto"/>
              <w:rPr>
                <w:rFonts w:hint="eastAsia" w:eastAsia="宋体"/>
                <w:lang w:eastAsia="zh-CN"/>
              </w:rPr>
            </w:pPr>
            <w:r>
              <w:rPr>
                <w:rFonts w:hint="eastAsia"/>
                <w:lang w:val="en-US" w:eastAsia="zh-CN"/>
              </w:rPr>
              <w:t>5</w:t>
            </w:r>
          </w:p>
        </w:tc>
        <w:tc>
          <w:tcPr>
            <w:tcW w:w="999" w:type="pct"/>
            <w:noWrap w:val="0"/>
            <w:vAlign w:val="center"/>
          </w:tcPr>
          <w:p>
            <w:pPr>
              <w:pStyle w:val="30"/>
              <w:widowControl w:val="0"/>
              <w:spacing w:line="240" w:lineRule="auto"/>
            </w:pPr>
            <w:r>
              <w:t>1</w:t>
            </w:r>
          </w:p>
        </w:tc>
        <w:tc>
          <w:tcPr>
            <w:tcW w:w="999" w:type="pct"/>
            <w:noWrap w:val="0"/>
            <w:vAlign w:val="top"/>
          </w:tcPr>
          <w:p>
            <w:pPr>
              <w:pStyle w:val="30"/>
              <w:widowControl w:val="0"/>
              <w:spacing w:line="240" w:lineRule="auto"/>
              <w:rPr>
                <w:rFonts w:hint="eastAsia" w:eastAsia="宋体"/>
                <w:lang w:eastAsia="zh-CN"/>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pct"/>
            <w:vMerge w:val="restart"/>
            <w:noWrap w:val="0"/>
            <w:vAlign w:val="center"/>
          </w:tcPr>
          <w:p>
            <w:pPr>
              <w:pStyle w:val="30"/>
              <w:widowControl w:val="0"/>
              <w:spacing w:line="240" w:lineRule="auto"/>
            </w:pPr>
            <w:r>
              <w:t>应用经济学</w:t>
            </w:r>
          </w:p>
        </w:tc>
        <w:tc>
          <w:tcPr>
            <w:tcW w:w="1500" w:type="pct"/>
            <w:noWrap w:val="0"/>
            <w:vAlign w:val="center"/>
          </w:tcPr>
          <w:p>
            <w:pPr>
              <w:pStyle w:val="30"/>
              <w:widowControl w:val="0"/>
              <w:spacing w:line="240" w:lineRule="auto"/>
            </w:pPr>
            <w:r>
              <w:t>区域经济学</w:t>
            </w:r>
          </w:p>
        </w:tc>
        <w:tc>
          <w:tcPr>
            <w:tcW w:w="691" w:type="pct"/>
            <w:noWrap w:val="0"/>
            <w:vAlign w:val="center"/>
          </w:tcPr>
          <w:p>
            <w:pPr>
              <w:pStyle w:val="30"/>
              <w:widowControl w:val="0"/>
              <w:spacing w:line="240" w:lineRule="auto"/>
            </w:pPr>
            <w:r>
              <w:t>2</w:t>
            </w:r>
          </w:p>
        </w:tc>
        <w:tc>
          <w:tcPr>
            <w:tcW w:w="999" w:type="pct"/>
            <w:noWrap w:val="0"/>
            <w:vAlign w:val="center"/>
          </w:tcPr>
          <w:p>
            <w:pPr>
              <w:pStyle w:val="30"/>
              <w:widowControl w:val="0"/>
              <w:spacing w:line="240" w:lineRule="auto"/>
              <w:rPr>
                <w:rFonts w:hint="eastAsia" w:eastAsia="宋体"/>
                <w:lang w:eastAsia="zh-CN"/>
              </w:rPr>
            </w:pPr>
            <w:r>
              <w:rPr>
                <w:rFonts w:hint="eastAsia"/>
                <w:lang w:val="en-US" w:eastAsia="zh-CN"/>
              </w:rPr>
              <w:t>2</w:t>
            </w:r>
          </w:p>
        </w:tc>
        <w:tc>
          <w:tcPr>
            <w:tcW w:w="999" w:type="pct"/>
            <w:noWrap w:val="0"/>
            <w:vAlign w:val="center"/>
          </w:tcPr>
          <w:p>
            <w:pPr>
              <w:pStyle w:val="30"/>
              <w:widowControl w:val="0"/>
              <w:spacing w:line="240" w:lineRule="auto"/>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pct"/>
            <w:vMerge w:val="continue"/>
            <w:noWrap w:val="0"/>
            <w:vAlign w:val="center"/>
          </w:tcPr>
          <w:p>
            <w:pPr>
              <w:pStyle w:val="30"/>
              <w:widowControl w:val="0"/>
              <w:spacing w:line="240" w:lineRule="auto"/>
            </w:pPr>
          </w:p>
        </w:tc>
        <w:tc>
          <w:tcPr>
            <w:tcW w:w="1500" w:type="pct"/>
            <w:noWrap w:val="0"/>
            <w:vAlign w:val="center"/>
          </w:tcPr>
          <w:p>
            <w:pPr>
              <w:pStyle w:val="30"/>
              <w:widowControl w:val="0"/>
              <w:spacing w:line="240" w:lineRule="auto"/>
            </w:pPr>
            <w:r>
              <w:t>产业经济学</w:t>
            </w:r>
          </w:p>
        </w:tc>
        <w:tc>
          <w:tcPr>
            <w:tcW w:w="691" w:type="pct"/>
            <w:noWrap w:val="0"/>
            <w:vAlign w:val="center"/>
          </w:tcPr>
          <w:p>
            <w:pPr>
              <w:pStyle w:val="30"/>
              <w:widowControl w:val="0"/>
              <w:spacing w:line="240" w:lineRule="auto"/>
              <w:rPr>
                <w:rFonts w:hint="default" w:eastAsia="宋体"/>
                <w:lang w:val="en-US" w:eastAsia="zh-CN"/>
              </w:rPr>
            </w:pPr>
            <w:r>
              <w:rPr>
                <w:rFonts w:hint="eastAsia"/>
                <w:lang w:val="en-US" w:eastAsia="zh-CN"/>
              </w:rPr>
              <w:t>10</w:t>
            </w:r>
          </w:p>
        </w:tc>
        <w:tc>
          <w:tcPr>
            <w:tcW w:w="999" w:type="pct"/>
            <w:noWrap w:val="0"/>
            <w:vAlign w:val="center"/>
          </w:tcPr>
          <w:p>
            <w:pPr>
              <w:pStyle w:val="30"/>
              <w:widowControl w:val="0"/>
              <w:spacing w:line="240" w:lineRule="auto"/>
              <w:rPr>
                <w:rFonts w:hint="eastAsia" w:eastAsia="宋体"/>
                <w:lang w:eastAsia="zh-CN"/>
              </w:rPr>
            </w:pPr>
            <w:r>
              <w:rPr>
                <w:rFonts w:hint="eastAsia"/>
                <w:lang w:val="en-US" w:eastAsia="zh-CN"/>
              </w:rPr>
              <w:t>5</w:t>
            </w:r>
          </w:p>
        </w:tc>
        <w:tc>
          <w:tcPr>
            <w:tcW w:w="999" w:type="pct"/>
            <w:noWrap w:val="0"/>
            <w:vAlign w:val="center"/>
          </w:tcPr>
          <w:p>
            <w:pPr>
              <w:pStyle w:val="30"/>
              <w:widowControl w:val="0"/>
              <w:spacing w:line="240" w:lineRule="auto"/>
              <w:rPr>
                <w:rFonts w:hint="eastAsia" w:eastAsia="宋体"/>
                <w:lang w:eastAsia="zh-CN"/>
              </w:rPr>
            </w:pP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pct"/>
            <w:vMerge w:val="continue"/>
            <w:noWrap w:val="0"/>
            <w:vAlign w:val="center"/>
          </w:tcPr>
          <w:p>
            <w:pPr>
              <w:pStyle w:val="30"/>
              <w:widowControl w:val="0"/>
              <w:spacing w:line="240" w:lineRule="auto"/>
            </w:pPr>
          </w:p>
        </w:tc>
        <w:tc>
          <w:tcPr>
            <w:tcW w:w="1500" w:type="pct"/>
            <w:noWrap w:val="0"/>
            <w:vAlign w:val="center"/>
          </w:tcPr>
          <w:p>
            <w:pPr>
              <w:pStyle w:val="30"/>
              <w:widowControl w:val="0"/>
              <w:spacing w:line="240" w:lineRule="auto"/>
            </w:pPr>
            <w:r>
              <w:t>金融学</w:t>
            </w:r>
          </w:p>
        </w:tc>
        <w:tc>
          <w:tcPr>
            <w:tcW w:w="691" w:type="pct"/>
            <w:noWrap w:val="0"/>
            <w:vAlign w:val="center"/>
          </w:tcPr>
          <w:p>
            <w:pPr>
              <w:pStyle w:val="30"/>
              <w:widowControl w:val="0"/>
              <w:spacing w:line="240" w:lineRule="auto"/>
              <w:rPr>
                <w:rFonts w:hint="eastAsia" w:eastAsia="宋体"/>
                <w:lang w:eastAsia="zh-CN"/>
              </w:rPr>
            </w:pPr>
            <w:r>
              <w:rPr>
                <w:rFonts w:hint="eastAsia"/>
                <w:lang w:val="en-US" w:eastAsia="zh-CN"/>
              </w:rPr>
              <w:t>2</w:t>
            </w:r>
          </w:p>
        </w:tc>
        <w:tc>
          <w:tcPr>
            <w:tcW w:w="999" w:type="pct"/>
            <w:noWrap w:val="0"/>
            <w:vAlign w:val="center"/>
          </w:tcPr>
          <w:p>
            <w:pPr>
              <w:pStyle w:val="30"/>
              <w:widowControl w:val="0"/>
              <w:spacing w:line="240" w:lineRule="auto"/>
            </w:pPr>
            <w:r>
              <w:t>2</w:t>
            </w:r>
          </w:p>
        </w:tc>
        <w:tc>
          <w:tcPr>
            <w:tcW w:w="999" w:type="pct"/>
            <w:noWrap w:val="0"/>
            <w:vAlign w:val="center"/>
          </w:tcPr>
          <w:p>
            <w:pPr>
              <w:pStyle w:val="30"/>
              <w:widowControl w:val="0"/>
              <w:spacing w:line="240" w:lineRule="auto"/>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pct"/>
            <w:vMerge w:val="continue"/>
            <w:noWrap w:val="0"/>
            <w:vAlign w:val="center"/>
          </w:tcPr>
          <w:p>
            <w:pPr>
              <w:pStyle w:val="30"/>
              <w:widowControl w:val="0"/>
              <w:spacing w:line="240" w:lineRule="auto"/>
            </w:pPr>
          </w:p>
        </w:tc>
        <w:tc>
          <w:tcPr>
            <w:tcW w:w="1500" w:type="pct"/>
            <w:noWrap w:val="0"/>
            <w:vAlign w:val="center"/>
          </w:tcPr>
          <w:p>
            <w:pPr>
              <w:pStyle w:val="30"/>
              <w:widowControl w:val="0"/>
              <w:spacing w:line="240" w:lineRule="auto"/>
            </w:pPr>
            <w:r>
              <w:t>国际贸易学</w:t>
            </w:r>
          </w:p>
        </w:tc>
        <w:tc>
          <w:tcPr>
            <w:tcW w:w="691" w:type="pct"/>
            <w:noWrap w:val="0"/>
            <w:vAlign w:val="center"/>
          </w:tcPr>
          <w:p>
            <w:pPr>
              <w:pStyle w:val="30"/>
              <w:widowControl w:val="0"/>
              <w:spacing w:line="240" w:lineRule="auto"/>
            </w:pPr>
            <w:r>
              <w:t>2</w:t>
            </w:r>
          </w:p>
        </w:tc>
        <w:tc>
          <w:tcPr>
            <w:tcW w:w="999" w:type="pct"/>
            <w:noWrap w:val="0"/>
            <w:vAlign w:val="center"/>
          </w:tcPr>
          <w:p>
            <w:pPr>
              <w:pStyle w:val="30"/>
              <w:widowControl w:val="0"/>
              <w:spacing w:line="240" w:lineRule="auto"/>
            </w:pPr>
            <w:r>
              <w:t>4</w:t>
            </w:r>
          </w:p>
        </w:tc>
        <w:tc>
          <w:tcPr>
            <w:tcW w:w="999" w:type="pct"/>
            <w:noWrap w:val="0"/>
            <w:vAlign w:val="center"/>
          </w:tcPr>
          <w:p>
            <w:pPr>
              <w:pStyle w:val="30"/>
              <w:widowControl w:val="0"/>
              <w:spacing w:line="240" w:lineRule="auto"/>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809" w:type="pct"/>
            <w:vMerge w:val="restart"/>
            <w:noWrap w:val="0"/>
            <w:vAlign w:val="center"/>
          </w:tcPr>
          <w:p>
            <w:pPr>
              <w:pStyle w:val="30"/>
              <w:widowControl w:val="0"/>
              <w:spacing w:line="240" w:lineRule="auto"/>
            </w:pPr>
            <w:r>
              <w:rPr>
                <w:rFonts w:hint="eastAsia"/>
              </w:rPr>
              <w:t>中国史</w:t>
            </w:r>
          </w:p>
        </w:tc>
        <w:tc>
          <w:tcPr>
            <w:tcW w:w="1500" w:type="pct"/>
            <w:noWrap w:val="0"/>
            <w:vAlign w:val="center"/>
          </w:tcPr>
          <w:p>
            <w:pPr>
              <w:pStyle w:val="30"/>
              <w:widowControl w:val="0"/>
              <w:spacing w:line="240" w:lineRule="auto"/>
            </w:pPr>
            <w:r>
              <w:rPr>
                <w:rFonts w:hint="eastAsia"/>
              </w:rPr>
              <w:t>专门史</w:t>
            </w:r>
          </w:p>
        </w:tc>
        <w:tc>
          <w:tcPr>
            <w:tcW w:w="691" w:type="pct"/>
            <w:noWrap w:val="0"/>
            <w:vAlign w:val="center"/>
          </w:tcPr>
          <w:p>
            <w:pPr>
              <w:pStyle w:val="30"/>
              <w:widowControl w:val="0"/>
              <w:spacing w:line="240" w:lineRule="auto"/>
              <w:rPr>
                <w:rFonts w:hint="eastAsia" w:eastAsia="宋体"/>
                <w:lang w:val="en-US" w:eastAsia="zh-CN"/>
              </w:rPr>
            </w:pPr>
            <w:r>
              <w:rPr>
                <w:rFonts w:hint="eastAsia"/>
                <w:lang w:val="en-US" w:eastAsia="zh-CN"/>
              </w:rPr>
              <w:t>0</w:t>
            </w:r>
          </w:p>
        </w:tc>
        <w:tc>
          <w:tcPr>
            <w:tcW w:w="999" w:type="pct"/>
            <w:noWrap w:val="0"/>
            <w:vAlign w:val="center"/>
          </w:tcPr>
          <w:p>
            <w:pPr>
              <w:pStyle w:val="30"/>
              <w:widowControl w:val="0"/>
              <w:spacing w:line="240" w:lineRule="auto"/>
              <w:rPr>
                <w:rFonts w:hint="eastAsia" w:eastAsia="宋体"/>
                <w:lang w:val="en-US" w:eastAsia="zh-CN"/>
              </w:rPr>
            </w:pPr>
            <w:r>
              <w:rPr>
                <w:rFonts w:hint="eastAsia"/>
                <w:lang w:val="en-US" w:eastAsia="zh-CN"/>
              </w:rPr>
              <w:t>4</w:t>
            </w:r>
          </w:p>
        </w:tc>
        <w:tc>
          <w:tcPr>
            <w:tcW w:w="999" w:type="pct"/>
            <w:noWrap w:val="0"/>
            <w:vAlign w:val="center"/>
          </w:tcPr>
          <w:p>
            <w:pPr>
              <w:pStyle w:val="30"/>
              <w:widowControl w:val="0"/>
              <w:spacing w:line="240" w:lineRule="auto"/>
              <w:rPr>
                <w:rFonts w:hint="eastAsia" w:eastAsia="宋体"/>
                <w:lang w:val="en-US" w:eastAsia="zh-CN"/>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809" w:type="pct"/>
            <w:vMerge w:val="continue"/>
            <w:noWrap w:val="0"/>
            <w:vAlign w:val="center"/>
          </w:tcPr>
          <w:p>
            <w:pPr>
              <w:pStyle w:val="30"/>
              <w:widowControl w:val="0"/>
              <w:spacing w:line="240" w:lineRule="auto"/>
            </w:pPr>
          </w:p>
        </w:tc>
        <w:tc>
          <w:tcPr>
            <w:tcW w:w="1500" w:type="pct"/>
            <w:noWrap w:val="0"/>
            <w:vAlign w:val="center"/>
          </w:tcPr>
          <w:p>
            <w:pPr>
              <w:pStyle w:val="30"/>
              <w:widowControl w:val="0"/>
              <w:spacing w:line="240" w:lineRule="auto"/>
            </w:pPr>
            <w:r>
              <w:rPr>
                <w:rFonts w:hint="eastAsia"/>
              </w:rPr>
              <w:t>中国古代史</w:t>
            </w:r>
          </w:p>
        </w:tc>
        <w:tc>
          <w:tcPr>
            <w:tcW w:w="691" w:type="pct"/>
            <w:noWrap w:val="0"/>
            <w:vAlign w:val="center"/>
          </w:tcPr>
          <w:p>
            <w:pPr>
              <w:pStyle w:val="30"/>
              <w:widowControl w:val="0"/>
              <w:spacing w:line="240" w:lineRule="auto"/>
              <w:rPr>
                <w:rFonts w:hint="eastAsia" w:eastAsia="宋体"/>
                <w:lang w:val="en-US" w:eastAsia="zh-CN"/>
              </w:rPr>
            </w:pPr>
            <w:r>
              <w:rPr>
                <w:rFonts w:hint="eastAsia"/>
                <w:lang w:val="en-US" w:eastAsia="zh-CN"/>
              </w:rPr>
              <w:t>3</w:t>
            </w:r>
          </w:p>
        </w:tc>
        <w:tc>
          <w:tcPr>
            <w:tcW w:w="999" w:type="pct"/>
            <w:noWrap w:val="0"/>
            <w:vAlign w:val="center"/>
          </w:tcPr>
          <w:p>
            <w:pPr>
              <w:pStyle w:val="30"/>
              <w:widowControl w:val="0"/>
              <w:spacing w:line="240" w:lineRule="auto"/>
              <w:rPr>
                <w:rFonts w:hint="eastAsia" w:eastAsia="宋体"/>
                <w:lang w:val="en-US" w:eastAsia="zh-CN"/>
              </w:rPr>
            </w:pPr>
            <w:r>
              <w:rPr>
                <w:rFonts w:hint="eastAsia"/>
                <w:lang w:val="en-US" w:eastAsia="zh-CN"/>
              </w:rPr>
              <w:t>2</w:t>
            </w:r>
          </w:p>
        </w:tc>
        <w:tc>
          <w:tcPr>
            <w:tcW w:w="999" w:type="pct"/>
            <w:noWrap w:val="0"/>
            <w:vAlign w:val="center"/>
          </w:tcPr>
          <w:p>
            <w:pPr>
              <w:pStyle w:val="30"/>
              <w:widowControl w:val="0"/>
              <w:spacing w:line="240" w:lineRule="auto"/>
              <w:rPr>
                <w:rFonts w:hint="eastAsia" w:eastAsia="宋体"/>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pct"/>
            <w:vMerge w:val="continue"/>
            <w:noWrap w:val="0"/>
            <w:vAlign w:val="center"/>
          </w:tcPr>
          <w:p>
            <w:pPr>
              <w:pStyle w:val="30"/>
              <w:widowControl w:val="0"/>
              <w:spacing w:line="240" w:lineRule="auto"/>
            </w:pPr>
          </w:p>
        </w:tc>
        <w:tc>
          <w:tcPr>
            <w:tcW w:w="1500" w:type="pct"/>
            <w:noWrap w:val="0"/>
            <w:vAlign w:val="center"/>
          </w:tcPr>
          <w:p>
            <w:pPr>
              <w:pStyle w:val="30"/>
              <w:widowControl w:val="0"/>
              <w:spacing w:line="240" w:lineRule="auto"/>
            </w:pPr>
            <w:r>
              <w:t>中国近现代史</w:t>
            </w:r>
          </w:p>
        </w:tc>
        <w:tc>
          <w:tcPr>
            <w:tcW w:w="691" w:type="pct"/>
            <w:noWrap w:val="0"/>
            <w:vAlign w:val="center"/>
          </w:tcPr>
          <w:p>
            <w:pPr>
              <w:pStyle w:val="30"/>
              <w:widowControl w:val="0"/>
              <w:spacing w:line="240" w:lineRule="auto"/>
            </w:pPr>
            <w:r>
              <w:t>4</w:t>
            </w:r>
          </w:p>
        </w:tc>
        <w:tc>
          <w:tcPr>
            <w:tcW w:w="999" w:type="pct"/>
            <w:noWrap w:val="0"/>
            <w:vAlign w:val="center"/>
          </w:tcPr>
          <w:p>
            <w:pPr>
              <w:pStyle w:val="30"/>
              <w:widowControl w:val="0"/>
              <w:spacing w:line="240" w:lineRule="auto"/>
              <w:rPr>
                <w:rFonts w:hint="eastAsia" w:eastAsia="宋体"/>
                <w:lang w:eastAsia="zh-CN"/>
              </w:rPr>
            </w:pPr>
            <w:r>
              <w:rPr>
                <w:rFonts w:hint="eastAsia"/>
                <w:lang w:val="en-US" w:eastAsia="zh-CN"/>
              </w:rPr>
              <w:t>0</w:t>
            </w:r>
          </w:p>
        </w:tc>
        <w:tc>
          <w:tcPr>
            <w:tcW w:w="999" w:type="pct"/>
            <w:noWrap w:val="0"/>
            <w:vAlign w:val="center"/>
          </w:tcPr>
          <w:p>
            <w:pPr>
              <w:pStyle w:val="30"/>
              <w:widowControl w:val="0"/>
              <w:spacing w:line="240" w:lineRule="auto"/>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pct"/>
            <w:vMerge w:val="restart"/>
            <w:noWrap w:val="0"/>
            <w:vAlign w:val="center"/>
          </w:tcPr>
          <w:p>
            <w:pPr>
              <w:pStyle w:val="30"/>
              <w:widowControl w:val="0"/>
              <w:spacing w:line="240" w:lineRule="auto"/>
            </w:pPr>
            <w:r>
              <w:t>社会学</w:t>
            </w:r>
          </w:p>
        </w:tc>
        <w:tc>
          <w:tcPr>
            <w:tcW w:w="1500" w:type="pct"/>
            <w:noWrap w:val="0"/>
            <w:vAlign w:val="center"/>
          </w:tcPr>
          <w:p>
            <w:pPr>
              <w:pStyle w:val="30"/>
              <w:widowControl w:val="0"/>
              <w:spacing w:line="240" w:lineRule="auto"/>
            </w:pPr>
            <w:r>
              <w:t>社会学</w:t>
            </w:r>
          </w:p>
        </w:tc>
        <w:tc>
          <w:tcPr>
            <w:tcW w:w="691" w:type="pct"/>
            <w:noWrap w:val="0"/>
            <w:vAlign w:val="center"/>
          </w:tcPr>
          <w:p>
            <w:pPr>
              <w:pStyle w:val="30"/>
              <w:widowControl w:val="0"/>
              <w:spacing w:line="240" w:lineRule="auto"/>
            </w:pPr>
            <w:r>
              <w:rPr>
                <w:rFonts w:hint="eastAsia"/>
              </w:rPr>
              <w:t>4</w:t>
            </w:r>
          </w:p>
        </w:tc>
        <w:tc>
          <w:tcPr>
            <w:tcW w:w="999" w:type="pct"/>
            <w:noWrap w:val="0"/>
            <w:vAlign w:val="center"/>
          </w:tcPr>
          <w:p>
            <w:pPr>
              <w:pStyle w:val="30"/>
              <w:widowControl w:val="0"/>
              <w:spacing w:line="240" w:lineRule="auto"/>
            </w:pPr>
            <w:r>
              <w:rPr>
                <w:rFonts w:hint="eastAsia"/>
              </w:rPr>
              <w:t>0</w:t>
            </w:r>
          </w:p>
        </w:tc>
        <w:tc>
          <w:tcPr>
            <w:tcW w:w="999" w:type="pct"/>
            <w:noWrap w:val="0"/>
            <w:vAlign w:val="center"/>
          </w:tcPr>
          <w:p>
            <w:pPr>
              <w:pStyle w:val="30"/>
              <w:widowControl w:val="0"/>
              <w:spacing w:line="240" w:lineRule="auto"/>
              <w:rPr>
                <w:rFonts w:hint="eastAsia" w:eastAsia="宋体"/>
                <w:lang w:eastAsia="zh-CN"/>
              </w:rPr>
            </w:pPr>
            <w:r>
              <w:rPr>
                <w:rFonts w:hint="eastAsia"/>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pct"/>
            <w:vMerge w:val="continue"/>
            <w:noWrap w:val="0"/>
            <w:vAlign w:val="center"/>
          </w:tcPr>
          <w:p>
            <w:pPr>
              <w:pStyle w:val="30"/>
              <w:widowControl w:val="0"/>
              <w:spacing w:line="240" w:lineRule="auto"/>
            </w:pPr>
          </w:p>
        </w:tc>
        <w:tc>
          <w:tcPr>
            <w:tcW w:w="1500" w:type="pct"/>
            <w:noWrap w:val="0"/>
            <w:vAlign w:val="center"/>
          </w:tcPr>
          <w:p>
            <w:pPr>
              <w:pStyle w:val="30"/>
              <w:widowControl w:val="0"/>
              <w:spacing w:line="240" w:lineRule="auto"/>
            </w:pPr>
            <w:r>
              <w:t>人口学</w:t>
            </w:r>
          </w:p>
        </w:tc>
        <w:tc>
          <w:tcPr>
            <w:tcW w:w="691" w:type="pct"/>
            <w:noWrap w:val="0"/>
            <w:vAlign w:val="center"/>
          </w:tcPr>
          <w:p>
            <w:pPr>
              <w:pStyle w:val="30"/>
              <w:widowControl w:val="0"/>
              <w:spacing w:line="240" w:lineRule="auto"/>
            </w:pPr>
            <w:r>
              <w:t>3</w:t>
            </w:r>
          </w:p>
        </w:tc>
        <w:tc>
          <w:tcPr>
            <w:tcW w:w="999" w:type="pct"/>
            <w:noWrap w:val="0"/>
            <w:vAlign w:val="center"/>
          </w:tcPr>
          <w:p>
            <w:pPr>
              <w:pStyle w:val="30"/>
              <w:widowControl w:val="0"/>
              <w:spacing w:line="240" w:lineRule="auto"/>
              <w:rPr>
                <w:rFonts w:hint="eastAsia" w:eastAsia="宋体"/>
                <w:lang w:eastAsia="zh-CN"/>
              </w:rPr>
            </w:pPr>
            <w:r>
              <w:rPr>
                <w:rFonts w:hint="eastAsia"/>
                <w:lang w:val="en-US" w:eastAsia="zh-CN"/>
              </w:rPr>
              <w:t>1</w:t>
            </w:r>
          </w:p>
        </w:tc>
        <w:tc>
          <w:tcPr>
            <w:tcW w:w="999" w:type="pct"/>
            <w:noWrap w:val="0"/>
            <w:vAlign w:val="center"/>
          </w:tcPr>
          <w:p>
            <w:pPr>
              <w:pStyle w:val="30"/>
              <w:widowControl w:val="0"/>
              <w:spacing w:line="240" w:lineRule="auto"/>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pct"/>
            <w:vMerge w:val="continue"/>
            <w:noWrap w:val="0"/>
            <w:vAlign w:val="center"/>
          </w:tcPr>
          <w:p>
            <w:pPr>
              <w:pStyle w:val="30"/>
              <w:widowControl w:val="0"/>
              <w:spacing w:line="240" w:lineRule="auto"/>
            </w:pPr>
          </w:p>
        </w:tc>
        <w:tc>
          <w:tcPr>
            <w:tcW w:w="1500" w:type="pct"/>
            <w:noWrap w:val="0"/>
            <w:vAlign w:val="center"/>
          </w:tcPr>
          <w:p>
            <w:pPr>
              <w:pStyle w:val="30"/>
              <w:widowControl w:val="0"/>
              <w:spacing w:line="240" w:lineRule="auto"/>
            </w:pPr>
            <w:r>
              <w:t>民俗学</w:t>
            </w:r>
          </w:p>
        </w:tc>
        <w:tc>
          <w:tcPr>
            <w:tcW w:w="691" w:type="pct"/>
            <w:noWrap w:val="0"/>
            <w:vAlign w:val="center"/>
          </w:tcPr>
          <w:p>
            <w:pPr>
              <w:pStyle w:val="30"/>
              <w:widowControl w:val="0"/>
              <w:spacing w:line="240" w:lineRule="auto"/>
              <w:rPr>
                <w:rFonts w:hint="eastAsia" w:eastAsia="宋体"/>
                <w:lang w:eastAsia="zh-CN"/>
              </w:rPr>
            </w:pPr>
            <w:r>
              <w:rPr>
                <w:rFonts w:hint="eastAsia"/>
                <w:lang w:val="en-US" w:eastAsia="zh-CN"/>
              </w:rPr>
              <w:t>0</w:t>
            </w:r>
          </w:p>
        </w:tc>
        <w:tc>
          <w:tcPr>
            <w:tcW w:w="999" w:type="pct"/>
            <w:noWrap w:val="0"/>
            <w:vAlign w:val="center"/>
          </w:tcPr>
          <w:p>
            <w:pPr>
              <w:pStyle w:val="30"/>
              <w:widowControl w:val="0"/>
              <w:spacing w:line="240" w:lineRule="auto"/>
              <w:rPr>
                <w:rFonts w:hint="eastAsia" w:eastAsia="宋体"/>
                <w:lang w:eastAsia="zh-CN"/>
              </w:rPr>
            </w:pPr>
            <w:r>
              <w:rPr>
                <w:rFonts w:hint="eastAsia"/>
                <w:lang w:val="en-US" w:eastAsia="zh-CN"/>
              </w:rPr>
              <w:t>2</w:t>
            </w:r>
          </w:p>
        </w:tc>
        <w:tc>
          <w:tcPr>
            <w:tcW w:w="999" w:type="pct"/>
            <w:noWrap w:val="0"/>
            <w:vAlign w:val="center"/>
          </w:tcPr>
          <w:p>
            <w:pPr>
              <w:pStyle w:val="30"/>
              <w:widowControl w:val="0"/>
              <w:spacing w:line="240" w:lineRule="auto"/>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9" w:type="pct"/>
            <w:gridSpan w:val="2"/>
            <w:noWrap w:val="0"/>
            <w:vAlign w:val="center"/>
          </w:tcPr>
          <w:p>
            <w:pPr>
              <w:pStyle w:val="30"/>
              <w:widowControl w:val="0"/>
              <w:spacing w:line="240" w:lineRule="auto"/>
            </w:pPr>
            <w:r>
              <w:t>公共课</w:t>
            </w:r>
          </w:p>
        </w:tc>
        <w:tc>
          <w:tcPr>
            <w:tcW w:w="691" w:type="pct"/>
            <w:noWrap w:val="0"/>
            <w:vAlign w:val="center"/>
          </w:tcPr>
          <w:p>
            <w:pPr>
              <w:pStyle w:val="30"/>
              <w:widowControl w:val="0"/>
              <w:spacing w:line="240" w:lineRule="auto"/>
              <w:rPr>
                <w:rFonts w:hint="eastAsia" w:eastAsia="宋体"/>
                <w:lang w:eastAsia="zh-CN"/>
              </w:rPr>
            </w:pPr>
            <w:r>
              <w:rPr>
                <w:rFonts w:hint="eastAsia"/>
                <w:lang w:val="en-US" w:eastAsia="zh-CN"/>
              </w:rPr>
              <w:t>3</w:t>
            </w:r>
          </w:p>
        </w:tc>
        <w:tc>
          <w:tcPr>
            <w:tcW w:w="999" w:type="pct"/>
            <w:noWrap w:val="0"/>
            <w:vAlign w:val="center"/>
          </w:tcPr>
          <w:p>
            <w:pPr>
              <w:pStyle w:val="30"/>
              <w:widowControl w:val="0"/>
              <w:spacing w:line="240" w:lineRule="auto"/>
            </w:pPr>
            <w:r>
              <w:t>1</w:t>
            </w:r>
          </w:p>
        </w:tc>
        <w:tc>
          <w:tcPr>
            <w:tcW w:w="999" w:type="pct"/>
            <w:noWrap w:val="0"/>
            <w:vAlign w:val="center"/>
          </w:tcPr>
          <w:p>
            <w:pPr>
              <w:pStyle w:val="30"/>
              <w:widowControl w:val="0"/>
              <w:spacing w:line="240" w:lineRule="auto"/>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9" w:type="pct"/>
            <w:gridSpan w:val="2"/>
            <w:noWrap w:val="0"/>
            <w:vAlign w:val="center"/>
          </w:tcPr>
          <w:p>
            <w:pPr>
              <w:pStyle w:val="30"/>
              <w:widowControl w:val="0"/>
              <w:spacing w:line="240" w:lineRule="auto"/>
            </w:pPr>
            <w:r>
              <w:t>合计</w:t>
            </w:r>
          </w:p>
        </w:tc>
        <w:tc>
          <w:tcPr>
            <w:tcW w:w="691" w:type="pct"/>
            <w:noWrap w:val="0"/>
            <w:vAlign w:val="center"/>
          </w:tcPr>
          <w:p>
            <w:pPr>
              <w:pStyle w:val="30"/>
              <w:widowControl w:val="0"/>
              <w:spacing w:line="240" w:lineRule="auto"/>
              <w:rPr>
                <w:rFonts w:hint="default" w:eastAsia="宋体"/>
                <w:lang w:val="en-US" w:eastAsia="zh-CN"/>
              </w:rPr>
            </w:pPr>
            <w:r>
              <w:rPr>
                <w:rFonts w:hint="eastAsia"/>
                <w:lang w:val="en-US" w:eastAsia="zh-CN"/>
              </w:rPr>
              <w:t>44</w:t>
            </w:r>
          </w:p>
        </w:tc>
        <w:tc>
          <w:tcPr>
            <w:tcW w:w="999" w:type="pct"/>
            <w:noWrap w:val="0"/>
            <w:vAlign w:val="center"/>
          </w:tcPr>
          <w:p>
            <w:pPr>
              <w:pStyle w:val="30"/>
              <w:widowControl w:val="0"/>
              <w:spacing w:line="240" w:lineRule="auto"/>
              <w:rPr>
                <w:rFonts w:hint="default" w:eastAsia="宋体"/>
                <w:lang w:val="en-US" w:eastAsia="zh-CN"/>
              </w:rPr>
            </w:pPr>
            <w:r>
              <w:rPr>
                <w:rFonts w:hint="eastAsia"/>
                <w:lang w:val="en-US" w:eastAsia="zh-CN"/>
              </w:rPr>
              <w:t>30</w:t>
            </w:r>
          </w:p>
        </w:tc>
        <w:tc>
          <w:tcPr>
            <w:tcW w:w="999" w:type="pct"/>
            <w:noWrap w:val="0"/>
            <w:vAlign w:val="center"/>
          </w:tcPr>
          <w:p>
            <w:pPr>
              <w:pStyle w:val="30"/>
              <w:widowControl w:val="0"/>
              <w:spacing w:line="240" w:lineRule="auto"/>
              <w:rPr>
                <w:rFonts w:hint="default" w:eastAsia="宋体"/>
                <w:lang w:val="en-US" w:eastAsia="zh-CN"/>
              </w:rPr>
            </w:pPr>
            <w:r>
              <w:rPr>
                <w:rFonts w:hint="eastAsia"/>
                <w:lang w:val="en-US" w:eastAsia="zh-CN"/>
              </w:rPr>
              <w:t>11</w:t>
            </w:r>
          </w:p>
        </w:tc>
      </w:tr>
    </w:tbl>
    <w:p>
      <w:pPr>
        <w:pStyle w:val="3"/>
        <w:keepNext w:val="0"/>
        <w:keepLines w:val="0"/>
        <w:widowControl w:val="0"/>
        <w:spacing w:before="219" w:beforeLines="70"/>
        <w:ind w:firstLine="723" w:firstLineChars="200"/>
        <w:rPr>
          <w:rFonts w:hint="eastAsia"/>
        </w:rPr>
      </w:pPr>
      <w:bookmarkStart w:id="55" w:name="_Toc67497676"/>
      <w:bookmarkStart w:id="56" w:name="_Toc67497713"/>
      <w:bookmarkStart w:id="57" w:name="_Toc24782"/>
      <w:bookmarkStart w:id="58" w:name="_Toc6107"/>
      <w:bookmarkStart w:id="59" w:name="_Toc127791866"/>
      <w:bookmarkStart w:id="60" w:name="_Toc20995"/>
      <w:bookmarkStart w:id="61" w:name="_Toc28997"/>
      <w:bookmarkStart w:id="62" w:name="_Toc24551"/>
      <w:r>
        <w:rPr>
          <w:rFonts w:hint="eastAsia"/>
        </w:rPr>
        <w:t>二、研究生思想政治教育</w:t>
      </w:r>
      <w:bookmarkEnd w:id="55"/>
      <w:bookmarkEnd w:id="56"/>
      <w:r>
        <w:rPr>
          <w:rFonts w:hint="eastAsia"/>
        </w:rPr>
        <w:t>和科学道德建设</w:t>
      </w:r>
      <w:bookmarkEnd w:id="57"/>
      <w:bookmarkEnd w:id="58"/>
      <w:bookmarkEnd w:id="59"/>
      <w:bookmarkEnd w:id="60"/>
      <w:bookmarkEnd w:id="61"/>
      <w:bookmarkEnd w:id="62"/>
    </w:p>
    <w:p>
      <w:pPr>
        <w:pStyle w:val="4"/>
        <w:keepNext w:val="0"/>
        <w:keepLines w:val="0"/>
        <w:widowControl w:val="0"/>
        <w:ind w:firstLine="602" w:firstLineChars="200"/>
        <w:rPr>
          <w:rFonts w:hint="eastAsia"/>
        </w:rPr>
      </w:pPr>
      <w:bookmarkStart w:id="63" w:name="_Toc17706"/>
      <w:bookmarkStart w:id="64" w:name="_Toc12646"/>
      <w:bookmarkStart w:id="65" w:name="_Toc21362"/>
      <w:bookmarkStart w:id="66" w:name="_Toc67497677"/>
      <w:bookmarkStart w:id="67" w:name="_Toc127791867"/>
      <w:bookmarkStart w:id="68" w:name="_Toc2953"/>
      <w:bookmarkStart w:id="69" w:name="_Toc67260860"/>
      <w:bookmarkStart w:id="70" w:name="_Toc1158"/>
      <w:bookmarkStart w:id="71" w:name="_Toc67497714"/>
      <w:r>
        <w:rPr>
          <w:rFonts w:hint="eastAsia"/>
        </w:rPr>
        <w:t>（一）思想政治教育</w:t>
      </w:r>
      <w:bookmarkEnd w:id="63"/>
      <w:bookmarkEnd w:id="64"/>
      <w:bookmarkEnd w:id="65"/>
      <w:bookmarkEnd w:id="66"/>
      <w:bookmarkEnd w:id="67"/>
      <w:bookmarkEnd w:id="68"/>
      <w:bookmarkEnd w:id="69"/>
      <w:bookmarkEnd w:id="70"/>
      <w:bookmarkEnd w:id="71"/>
    </w:p>
    <w:p>
      <w:pPr>
        <w:pStyle w:val="5"/>
        <w:keepNext w:val="0"/>
        <w:keepLines w:val="0"/>
        <w:widowControl w:val="0"/>
        <w:ind w:firstLine="560" w:firstLineChars="200"/>
        <w:rPr>
          <w:rFonts w:hint="eastAsia"/>
        </w:rPr>
      </w:pPr>
      <w:bookmarkStart w:id="72" w:name="_Toc8620"/>
      <w:r>
        <w:rPr>
          <w:rFonts w:hint="eastAsia"/>
        </w:rPr>
        <w:t>1.以</w:t>
      </w:r>
      <w:r>
        <w:rPr>
          <w:rFonts w:hint="eastAsia"/>
          <w:lang w:val="en-US" w:eastAsia="zh-CN"/>
        </w:rPr>
        <w:t>主题教育</w:t>
      </w:r>
      <w:r>
        <w:rPr>
          <w:rFonts w:hint="eastAsia"/>
        </w:rPr>
        <w:t>为统领提升思想政治教育质量</w:t>
      </w:r>
      <w:bookmarkEnd w:id="72"/>
    </w:p>
    <w:p>
      <w:pPr>
        <w:ind w:firstLine="480"/>
        <w:rPr>
          <w:rFonts w:hint="eastAsia"/>
        </w:rPr>
      </w:pPr>
      <w:r>
        <w:rPr>
          <w:rFonts w:hint="eastAsia"/>
        </w:rPr>
        <w:t>202</w:t>
      </w:r>
      <w:r>
        <w:rPr>
          <w:rFonts w:hint="eastAsia"/>
          <w:lang w:val="en-US" w:eastAsia="zh-CN"/>
        </w:rPr>
        <w:t>3</w:t>
      </w:r>
      <w:r>
        <w:rPr>
          <w:rFonts w:hint="eastAsia"/>
        </w:rPr>
        <w:t>年，我院深入开展学习贯彻习近平新时代中国特色社会主义思想主题教育，同步</w:t>
      </w:r>
      <w:r>
        <w:rPr>
          <w:rFonts w:hint="eastAsia"/>
          <w:lang w:val="en-US" w:eastAsia="zh-CN"/>
        </w:rPr>
        <w:t>推进</w:t>
      </w:r>
      <w:r>
        <w:rPr>
          <w:rFonts w:hint="eastAsia"/>
          <w:lang w:eastAsia="zh-CN"/>
        </w:rPr>
        <w:t>研究生课程思政建设工作</w:t>
      </w:r>
      <w:r>
        <w:rPr>
          <w:rFonts w:hint="eastAsia"/>
        </w:rPr>
        <w:t>，</w:t>
      </w:r>
      <w:r>
        <w:rPr>
          <w:rFonts w:hint="eastAsia"/>
          <w:lang w:val="en-US" w:eastAsia="zh-CN"/>
        </w:rPr>
        <w:t>不断</w:t>
      </w:r>
      <w:r>
        <w:rPr>
          <w:rFonts w:hint="eastAsia"/>
          <w:lang w:eastAsia="zh-CN"/>
        </w:rPr>
        <w:t>加强马克思主义</w:t>
      </w:r>
      <w:r>
        <w:rPr>
          <w:rFonts w:hint="eastAsia"/>
          <w:lang w:val="en-US" w:eastAsia="zh-CN"/>
        </w:rPr>
        <w:t>及</w:t>
      </w:r>
      <w:r>
        <w:rPr>
          <w:rFonts w:hint="eastAsia"/>
          <w:lang w:eastAsia="zh-CN"/>
        </w:rPr>
        <w:t>新时代中国特色社会主义理论相关的思想政治教育</w:t>
      </w:r>
      <w:r>
        <w:rPr>
          <w:rFonts w:hint="eastAsia"/>
          <w:lang w:val="en-US" w:eastAsia="zh-CN"/>
        </w:rPr>
        <w:t>力度</w:t>
      </w:r>
      <w:r>
        <w:rPr>
          <w:rFonts w:hint="eastAsia"/>
          <w:lang w:eastAsia="zh-CN"/>
        </w:rPr>
        <w:t>，</w:t>
      </w:r>
      <w:r>
        <w:rPr>
          <w:rFonts w:hint="eastAsia"/>
        </w:rPr>
        <w:t>通过课内课外、线上线下“双结合”模式</w:t>
      </w:r>
      <w:r>
        <w:rPr>
          <w:rFonts w:hint="eastAsia"/>
          <w:lang w:eastAsia="zh-CN"/>
        </w:rPr>
        <w:t>，</w:t>
      </w:r>
      <w:r>
        <w:rPr>
          <w:rFonts w:hint="eastAsia"/>
        </w:rPr>
        <w:t>持续提升研究生思想政治教育</w:t>
      </w:r>
      <w:r>
        <w:rPr>
          <w:rFonts w:hint="eastAsia"/>
          <w:lang w:val="en-US" w:eastAsia="zh-CN"/>
        </w:rPr>
        <w:t>质量</w:t>
      </w:r>
      <w:r>
        <w:rPr>
          <w:rFonts w:hint="eastAsia"/>
        </w:rPr>
        <w:t>。</w:t>
      </w:r>
    </w:p>
    <w:p>
      <w:pPr>
        <w:ind w:firstLine="480"/>
        <w:rPr>
          <w:rFonts w:hint="eastAsia"/>
        </w:rPr>
      </w:pPr>
      <w:r>
        <w:rPr>
          <w:rFonts w:hint="eastAsia"/>
        </w:rPr>
        <w:t>一是</w:t>
      </w:r>
      <w:r>
        <w:rPr>
          <w:rFonts w:hint="eastAsia"/>
          <w:lang w:val="en-US" w:eastAsia="zh-CN"/>
        </w:rPr>
        <w:t>积极</w:t>
      </w:r>
      <w:r>
        <w:rPr>
          <w:rFonts w:hint="eastAsia"/>
        </w:rPr>
        <w:t>创新思想政治教育方式</w:t>
      </w:r>
      <w:r>
        <w:rPr>
          <w:rFonts w:hint="eastAsia"/>
          <w:lang w:eastAsia="zh-CN"/>
        </w:rPr>
        <w:t>。</w:t>
      </w:r>
      <w:r>
        <w:rPr>
          <w:rFonts w:hint="eastAsia"/>
        </w:rPr>
        <w:t>在</w:t>
      </w:r>
      <w:r>
        <w:rPr>
          <w:rFonts w:hint="eastAsia"/>
          <w:lang w:val="en-US" w:eastAsia="zh-CN"/>
        </w:rPr>
        <w:t>主题</w:t>
      </w:r>
      <w:r>
        <w:rPr>
          <w:rFonts w:hint="eastAsia"/>
        </w:rPr>
        <w:t>教育</w:t>
      </w:r>
      <w:r>
        <w:rPr>
          <w:rFonts w:hint="eastAsia"/>
          <w:lang w:val="en-US" w:eastAsia="zh-CN"/>
        </w:rPr>
        <w:t>学习</w:t>
      </w:r>
      <w:r>
        <w:rPr>
          <w:rFonts w:hint="eastAsia"/>
        </w:rPr>
        <w:t>中，研究生部党支部通过</w:t>
      </w:r>
      <w:r>
        <w:rPr>
          <w:rFonts w:hint="eastAsia"/>
          <w:lang w:eastAsia="zh-CN"/>
        </w:rPr>
        <w:t>书记</w:t>
      </w:r>
      <w:r>
        <w:rPr>
          <w:rFonts w:hint="eastAsia"/>
        </w:rPr>
        <w:t>院长讲党课、专家学者讲党课、学生党员讲党课等多种</w:t>
      </w:r>
      <w:r>
        <w:rPr>
          <w:rFonts w:hint="eastAsia"/>
          <w:lang w:val="en-US" w:eastAsia="zh-CN"/>
        </w:rPr>
        <w:t>形式</w:t>
      </w:r>
      <w:r>
        <w:rPr>
          <w:rFonts w:hint="eastAsia"/>
        </w:rPr>
        <w:t>，加强学生党员</w:t>
      </w:r>
      <w:r>
        <w:rPr>
          <w:rFonts w:hint="eastAsia"/>
          <w:lang w:val="en-US" w:eastAsia="zh-CN"/>
        </w:rPr>
        <w:t>学习力度</w:t>
      </w:r>
      <w:r>
        <w:rPr>
          <w:rFonts w:hint="eastAsia"/>
        </w:rPr>
        <w:t>，提升思想政治水平。一方面，组织学生积极参与我院</w:t>
      </w:r>
      <w:r>
        <w:rPr>
          <w:rFonts w:hint="eastAsia"/>
          <w:lang w:val="en-US" w:eastAsia="zh-CN"/>
        </w:rPr>
        <w:t>开展</w:t>
      </w:r>
      <w:r>
        <w:rPr>
          <w:rFonts w:hint="eastAsia"/>
        </w:rPr>
        <w:t>的各类思想</w:t>
      </w:r>
      <w:r>
        <w:rPr>
          <w:rFonts w:hint="eastAsia"/>
          <w:lang w:val="en-US" w:eastAsia="zh-CN"/>
        </w:rPr>
        <w:t>政治</w:t>
      </w:r>
      <w:r>
        <w:rPr>
          <w:rFonts w:hint="eastAsia"/>
        </w:rPr>
        <w:t>教育活动，如参加学习贯彻习近平新时代中国特色社会主义思想主题教育动员部署会</w:t>
      </w:r>
      <w:r>
        <w:rPr>
          <w:rFonts w:hint="eastAsia"/>
          <w:lang w:eastAsia="zh-CN"/>
        </w:rPr>
        <w:t>、主题教育青年读书会</w:t>
      </w:r>
      <w:r>
        <w:rPr>
          <w:rFonts w:hint="eastAsia"/>
          <w:lang w:val="en-US" w:eastAsia="zh-CN"/>
        </w:rPr>
        <w:t>及主题教育</w:t>
      </w:r>
      <w:r>
        <w:rPr>
          <w:rFonts w:hint="eastAsia"/>
        </w:rPr>
        <w:t>总结会议</w:t>
      </w:r>
      <w:r>
        <w:rPr>
          <w:rFonts w:hint="eastAsia"/>
          <w:lang w:val="en-US" w:eastAsia="zh-CN"/>
        </w:rPr>
        <w:t>等</w:t>
      </w:r>
      <w:r>
        <w:rPr>
          <w:rFonts w:hint="eastAsia"/>
        </w:rPr>
        <w:t>。另一方面，积极动员学生党员开展“我来讲党课”主题活动，以马克思列宁主义、毛泽东思想、邓小平理论、“三个代表”重要思想、科学发展观、习近平新时代中国特色社会主义思想</w:t>
      </w:r>
      <w:r>
        <w:rPr>
          <w:rFonts w:hint="eastAsia"/>
          <w:lang w:eastAsia="zh-CN"/>
        </w:rPr>
        <w:t>、</w:t>
      </w:r>
      <w:r>
        <w:rPr>
          <w:rFonts w:hint="eastAsia"/>
        </w:rPr>
        <w:t>党的二十大精神和习近平总书记系列重要讲话精神为学习对象，推动学生党员讲党课，丰富学习形式，引导学生党员不断提高政治判断力、政治领悟力、政治执行力。</w:t>
      </w:r>
    </w:p>
    <w:p>
      <w:pPr>
        <w:spacing w:after="157" w:afterLines="50"/>
        <w:ind w:firstLine="480"/>
        <w:rPr>
          <w:rFonts w:hint="eastAsia"/>
        </w:rPr>
      </w:pPr>
      <w:r>
        <w:rPr>
          <w:rFonts w:hint="eastAsia"/>
        </w:rPr>
        <w:t>二是线上线下相结合拓宽思政学习教育渠道。在线下，研究生部党支部陆续开展了题为“思想旗帜”“坚强核心”“强国复兴”“挺膺担当”的专题教育和“大思政课专题讲座”</w:t>
      </w:r>
      <w:r>
        <w:rPr>
          <w:rFonts w:hint="eastAsia"/>
          <w:lang w:eastAsia="zh-CN"/>
        </w:rPr>
        <w:t>（</w:t>
      </w:r>
      <w:r>
        <w:rPr>
          <w:rFonts w:hint="eastAsia"/>
          <w:lang w:val="en-US" w:eastAsia="zh-CN"/>
        </w:rPr>
        <w:t>见表7</w:t>
      </w:r>
      <w:r>
        <w:rPr>
          <w:rFonts w:hint="eastAsia"/>
          <w:lang w:eastAsia="zh-CN"/>
        </w:rPr>
        <w:t>）</w:t>
      </w:r>
      <w:r>
        <w:rPr>
          <w:rFonts w:hint="eastAsia"/>
        </w:rPr>
        <w:t>，内容涉及政治理论教育、国家安全教育、心理健康教育、爱国主义教育等方面，针对学生因势利导，强化党的理论方针政策学习</w:t>
      </w:r>
      <w:r>
        <w:rPr>
          <w:rFonts w:hint="eastAsia"/>
          <w:lang w:eastAsia="zh-CN"/>
        </w:rPr>
        <w:t>；</w:t>
      </w:r>
      <w:r>
        <w:rPr>
          <w:rFonts w:hint="eastAsia"/>
        </w:rPr>
        <w:t>带领学生党员前往惠州罗浮山东江纵队纪念馆开展“赓续红色血脉，汲取奋进力量”主题党日活动，进行“东纵精神爱国主义教育”，夯实理想根基，锤炼党性</w:t>
      </w:r>
      <w:r>
        <w:rPr>
          <w:rFonts w:hint="eastAsia"/>
          <w:lang w:eastAsia="zh-CN"/>
        </w:rPr>
        <w:t>；</w:t>
      </w:r>
      <w:r>
        <w:rPr>
          <w:rFonts w:hint="eastAsia"/>
        </w:rPr>
        <w:t>开展“科学道德和学术规范”教育，组织学生积极参加“学海大讲堂”系列讲座等。在线上，</w:t>
      </w:r>
      <w:r>
        <w:rPr>
          <w:rFonts w:hint="eastAsia"/>
          <w:lang w:val="en-US" w:eastAsia="zh-CN"/>
        </w:rPr>
        <w:t>坚持理论学习常态化，引导学生党员用好</w:t>
      </w:r>
      <w:r>
        <w:rPr>
          <w:rFonts w:hint="eastAsia"/>
        </w:rPr>
        <w:t>“学习强国”平台</w:t>
      </w:r>
      <w:r>
        <w:rPr>
          <w:rFonts w:hint="eastAsia"/>
          <w:lang w:val="en-US" w:eastAsia="zh-CN"/>
        </w:rPr>
        <w:t>加强政治理论</w:t>
      </w:r>
      <w:r>
        <w:rPr>
          <w:rFonts w:hint="eastAsia"/>
        </w:rPr>
        <w:t>学习，不断强化党员意识、增强党性修养</w:t>
      </w:r>
      <w:r>
        <w:rPr>
          <w:rFonts w:hint="eastAsia"/>
          <w:lang w:eastAsia="zh-CN"/>
        </w:rPr>
        <w:t>；</w:t>
      </w:r>
      <w:r>
        <w:rPr>
          <w:rFonts w:hint="eastAsia"/>
          <w:lang w:val="en-US" w:eastAsia="zh-CN"/>
        </w:rPr>
        <w:t>并组织</w:t>
      </w:r>
      <w:r>
        <w:rPr>
          <w:rFonts w:hint="eastAsia"/>
        </w:rPr>
        <w:t>学生党员积极利用课余时间观看具有历史意义、时代意义的纪录片</w:t>
      </w:r>
      <w:r>
        <w:rPr>
          <w:rFonts w:hint="eastAsia"/>
          <w:lang w:val="en-US" w:eastAsia="zh-CN"/>
        </w:rPr>
        <w:t>和红色教育影片，如《志愿军：雄兵出击》等，</w:t>
      </w:r>
      <w:r>
        <w:rPr>
          <w:rFonts w:hint="eastAsia"/>
        </w:rPr>
        <w:t>增强党员归属感、使命感、荣誉感。</w:t>
      </w:r>
    </w:p>
    <w:p>
      <w:pPr>
        <w:pStyle w:val="6"/>
        <w:keepNext/>
        <w:keepLines/>
        <w:pageBreakBefore w:val="0"/>
        <w:widowControl w:val="0"/>
        <w:kinsoku/>
        <w:wordWrap/>
        <w:overflowPunct/>
        <w:topLinePunct w:val="0"/>
        <w:autoSpaceDE/>
        <w:autoSpaceDN/>
        <w:bidi w:val="0"/>
        <w:adjustRightInd/>
        <w:snapToGrid/>
        <w:spacing w:before="157" w:beforeLines="50" w:after="120" w:afterLines="50" w:line="240" w:lineRule="auto"/>
        <w:ind w:firstLine="0" w:firstLineChars="0"/>
        <w:jc w:val="center"/>
        <w:textAlignment w:val="auto"/>
        <w:outlineLvl w:val="3"/>
        <w:rPr>
          <w:rFonts w:hint="default" w:ascii="宋体" w:hAnsi="Calibri" w:eastAsia="宋体" w:cs="宋体"/>
          <w:b w:val="0"/>
          <w:bCs w:val="0"/>
          <w:highlight w:val="none"/>
          <w:lang w:val="en-US" w:eastAsia="zh-CN"/>
        </w:rPr>
      </w:pPr>
      <w:r>
        <w:rPr>
          <w:rFonts w:hint="default" w:ascii="Times New Roman" w:hAnsi="Times New Roman" w:cs="Times New Roman"/>
          <w:b/>
          <w:bCs w:val="0"/>
          <w:highlight w:val="none"/>
          <w:lang w:val="en-US" w:eastAsia="zh-CN"/>
        </w:rPr>
        <w:t>表</w:t>
      </w:r>
      <w:r>
        <w:rPr>
          <w:rFonts w:hint="default" w:ascii="Times New Roman" w:hAnsi="Times New Roman" w:cs="Times New Roman"/>
          <w:b/>
          <w:bCs w:val="0"/>
          <w:lang w:val="en-US" w:eastAsia="zh-CN"/>
        </w:rPr>
        <w:t>7</w:t>
      </w:r>
      <w:r>
        <w:rPr>
          <w:rFonts w:hint="default" w:ascii="Times New Roman" w:hAnsi="Times New Roman" w:cs="Times New Roman"/>
          <w:b/>
          <w:bCs w:val="0"/>
          <w:highlight w:val="none"/>
          <w:lang w:val="en-US" w:eastAsia="zh-CN"/>
        </w:rPr>
        <w:t xml:space="preserve">  </w:t>
      </w:r>
      <w:r>
        <w:rPr>
          <w:rFonts w:hint="default" w:ascii="Times New Roman" w:hAnsi="Times New Roman" w:eastAsia="宋体" w:cs="Times New Roman"/>
          <w:b/>
          <w:bCs w:val="0"/>
          <w:highlight w:val="none"/>
        </w:rPr>
        <w:t>2023年</w:t>
      </w:r>
      <w:r>
        <w:rPr>
          <w:rFonts w:hint="default" w:ascii="Times New Roman" w:hAnsi="Times New Roman" w:cs="Times New Roman"/>
          <w:b/>
          <w:bCs w:val="0"/>
          <w:highlight w:val="none"/>
          <w:lang w:val="en-US" w:eastAsia="zh-CN"/>
        </w:rPr>
        <w:t>学位点研究生思想政治学习汇总表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4503"/>
        <w:gridCol w:w="3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82" w:type="dxa"/>
            <w:vAlign w:val="center"/>
          </w:tcPr>
          <w:p>
            <w:pPr>
              <w:keepNext w:val="0"/>
              <w:keepLines w:val="0"/>
              <w:widowControl w:val="0"/>
              <w:suppressLineNumbers w:val="0"/>
              <w:spacing w:line="288" w:lineRule="auto"/>
              <w:ind w:firstLine="0" w:firstLineChars="0"/>
              <w:jc w:val="center"/>
              <w:textAlignment w:val="center"/>
              <w:rPr>
                <w:rFonts w:hint="eastAsia" w:ascii="Times New Roman" w:hAnsi="Times New Roman" w:eastAsia="宋体" w:cs="Times New Roman"/>
                <w:sz w:val="21"/>
                <w:szCs w:val="21"/>
                <w:highlight w:val="none"/>
                <w:vertAlign w:val="baseline"/>
              </w:rPr>
            </w:pPr>
            <w:r>
              <w:rPr>
                <w:rFonts w:hint="eastAsia" w:ascii="宋体" w:hAnsi="宋体" w:eastAsia="宋体" w:cs="宋体"/>
                <w:b w:val="0"/>
                <w:bCs w:val="0"/>
                <w:i w:val="0"/>
                <w:iCs w:val="0"/>
                <w:color w:val="000000"/>
                <w:kern w:val="0"/>
                <w:sz w:val="21"/>
                <w:szCs w:val="21"/>
                <w:u w:val="none"/>
                <w:lang w:val="en-US" w:eastAsia="zh-CN" w:bidi="ar"/>
              </w:rPr>
              <w:t>序号</w:t>
            </w:r>
          </w:p>
        </w:tc>
        <w:tc>
          <w:tcPr>
            <w:tcW w:w="4503" w:type="dxa"/>
            <w:vAlign w:val="center"/>
          </w:tcPr>
          <w:p>
            <w:pPr>
              <w:keepNext w:val="0"/>
              <w:keepLines w:val="0"/>
              <w:widowControl w:val="0"/>
              <w:suppressLineNumbers w:val="0"/>
              <w:spacing w:line="288" w:lineRule="auto"/>
              <w:ind w:firstLine="0" w:firstLineChars="0"/>
              <w:jc w:val="center"/>
              <w:textAlignment w:val="center"/>
              <w:rPr>
                <w:rFonts w:hint="eastAsia" w:ascii="Times New Roman" w:hAnsi="Times New Roman" w:eastAsia="宋体" w:cs="Times New Roman"/>
                <w:sz w:val="21"/>
                <w:szCs w:val="21"/>
                <w:highlight w:val="none"/>
                <w:vertAlign w:val="baseline"/>
              </w:rPr>
            </w:pPr>
            <w:r>
              <w:rPr>
                <w:rFonts w:hint="eastAsia" w:ascii="宋体" w:hAnsi="宋体" w:eastAsia="宋体" w:cs="宋体"/>
                <w:b w:val="0"/>
                <w:bCs w:val="0"/>
                <w:i w:val="0"/>
                <w:iCs w:val="0"/>
                <w:color w:val="000000"/>
                <w:kern w:val="0"/>
                <w:sz w:val="21"/>
                <w:szCs w:val="21"/>
                <w:u w:val="none"/>
                <w:lang w:val="en-US" w:eastAsia="zh-CN" w:bidi="ar"/>
              </w:rPr>
              <w:t>学习内容</w:t>
            </w:r>
          </w:p>
        </w:tc>
        <w:tc>
          <w:tcPr>
            <w:tcW w:w="3130" w:type="dxa"/>
            <w:vAlign w:val="center"/>
          </w:tcPr>
          <w:p>
            <w:pPr>
              <w:keepNext w:val="0"/>
              <w:keepLines w:val="0"/>
              <w:widowControl w:val="0"/>
              <w:suppressLineNumbers w:val="0"/>
              <w:spacing w:line="288" w:lineRule="auto"/>
              <w:ind w:firstLine="0" w:firstLineChars="0"/>
              <w:jc w:val="center"/>
              <w:textAlignment w:val="center"/>
              <w:rPr>
                <w:rFonts w:hint="eastAsia" w:ascii="Times New Roman" w:hAnsi="Times New Roman" w:eastAsia="宋体" w:cs="Times New Roman"/>
                <w:sz w:val="21"/>
                <w:szCs w:val="21"/>
                <w:highlight w:val="none"/>
                <w:vertAlign w:val="baseline"/>
              </w:rPr>
            </w:pPr>
            <w:r>
              <w:rPr>
                <w:rFonts w:hint="eastAsia" w:ascii="宋体" w:hAnsi="宋体" w:eastAsia="宋体" w:cs="宋体"/>
                <w:b w:val="0"/>
                <w:bCs w:val="0"/>
                <w:i w:val="0"/>
                <w:iCs w:val="0"/>
                <w:color w:val="000000"/>
                <w:kern w:val="0"/>
                <w:sz w:val="21"/>
                <w:szCs w:val="21"/>
                <w:u w:val="none"/>
                <w:lang w:val="en-US" w:eastAsia="zh-CN" w:bidi="ar"/>
              </w:rPr>
              <w:t>主讲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82" w:type="dxa"/>
            <w:vAlign w:val="center"/>
          </w:tcPr>
          <w:p>
            <w:pPr>
              <w:keepNext w:val="0"/>
              <w:keepLines w:val="0"/>
              <w:widowControl w:val="0"/>
              <w:suppressLineNumbers w:val="0"/>
              <w:spacing w:line="288" w:lineRule="auto"/>
              <w:ind w:firstLine="0" w:firstLineChars="0"/>
              <w:jc w:val="center"/>
              <w:textAlignment w:val="center"/>
              <w:rPr>
                <w:rFonts w:hint="default" w:ascii="Times New Roman" w:hAnsi="Times New Roman" w:eastAsia="宋体" w:cs="Times New Roman"/>
                <w:kern w:val="0"/>
                <w:sz w:val="21"/>
                <w:szCs w:val="24"/>
                <w:highlight w:val="none"/>
                <w:vertAlign w:val="baseline"/>
              </w:rPr>
            </w:pPr>
            <w:r>
              <w:rPr>
                <w:rFonts w:hint="default" w:ascii="Times New Roman" w:hAnsi="Times New Roman" w:eastAsia="宋体" w:cs="Times New Roman"/>
                <w:i w:val="0"/>
                <w:iCs w:val="0"/>
                <w:color w:val="auto"/>
                <w:kern w:val="0"/>
                <w:sz w:val="21"/>
                <w:szCs w:val="24"/>
                <w:u w:val="none"/>
                <w:lang w:val="en-US" w:eastAsia="zh-CN" w:bidi="ar-SA"/>
              </w:rPr>
              <w:t>1</w:t>
            </w:r>
          </w:p>
        </w:tc>
        <w:tc>
          <w:tcPr>
            <w:tcW w:w="4503" w:type="dxa"/>
            <w:vAlign w:val="center"/>
          </w:tcPr>
          <w:p>
            <w:pPr>
              <w:keepNext w:val="0"/>
              <w:keepLines w:val="0"/>
              <w:widowControl w:val="0"/>
              <w:suppressLineNumbers w:val="0"/>
              <w:spacing w:line="288" w:lineRule="auto"/>
              <w:ind w:firstLine="0" w:firstLineChars="0"/>
              <w:jc w:val="center"/>
              <w:textAlignment w:val="center"/>
              <w:rPr>
                <w:rFonts w:hint="eastAsia" w:ascii="Times New Roman" w:hAnsi="Times New Roman" w:eastAsia="宋体" w:cs="Times New Roman"/>
                <w:sz w:val="21"/>
                <w:szCs w:val="21"/>
                <w:highlight w:val="none"/>
                <w:vertAlign w:val="baseline"/>
              </w:rPr>
            </w:pPr>
            <w:r>
              <w:rPr>
                <w:rFonts w:hint="eastAsia" w:ascii="宋体" w:hAnsi="宋体" w:eastAsia="宋体" w:cs="宋体"/>
                <w:i w:val="0"/>
                <w:iCs w:val="0"/>
                <w:color w:val="000000"/>
                <w:kern w:val="0"/>
                <w:sz w:val="21"/>
                <w:szCs w:val="21"/>
                <w:u w:val="none"/>
                <w:lang w:val="en-US" w:eastAsia="zh-CN" w:bidi="ar"/>
              </w:rPr>
              <w:t>广东省社会科学院春季学期研究生开学第一课思政课——“学习贯彻党的二十大精神宣讲报告会”</w:t>
            </w:r>
          </w:p>
        </w:tc>
        <w:tc>
          <w:tcPr>
            <w:tcW w:w="3130" w:type="dxa"/>
            <w:vAlign w:val="center"/>
          </w:tcPr>
          <w:p>
            <w:pPr>
              <w:keepNext w:val="0"/>
              <w:keepLines w:val="0"/>
              <w:widowControl w:val="0"/>
              <w:suppressLineNumbers w:val="0"/>
              <w:spacing w:line="288" w:lineRule="auto"/>
              <w:ind w:firstLine="0" w:firstLineChars="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王廷惠</w:t>
            </w:r>
            <w:r>
              <w:rPr>
                <w:rFonts w:hint="eastAsia" w:ascii="宋体" w:hAnsi="宋体" w:cs="宋体"/>
                <w:i w:val="0"/>
                <w:iCs w:val="0"/>
                <w:color w:val="000000"/>
                <w:kern w:val="0"/>
                <w:sz w:val="21"/>
                <w:szCs w:val="21"/>
                <w:u w:val="none"/>
                <w:lang w:val="en-US" w:eastAsia="zh-CN" w:bidi="ar"/>
              </w:rPr>
              <w:t xml:space="preserve"> </w:t>
            </w:r>
          </w:p>
          <w:p>
            <w:pPr>
              <w:keepNext w:val="0"/>
              <w:keepLines w:val="0"/>
              <w:widowControl w:val="0"/>
              <w:suppressLineNumbers w:val="0"/>
              <w:spacing w:line="288" w:lineRule="auto"/>
              <w:ind w:firstLine="0" w:firstLineChars="0"/>
              <w:jc w:val="center"/>
              <w:textAlignment w:val="center"/>
              <w:rPr>
                <w:rFonts w:hint="eastAsia" w:ascii="Times New Roman" w:hAnsi="Times New Roman" w:eastAsia="宋体" w:cs="Times New Roman"/>
                <w:sz w:val="21"/>
                <w:szCs w:val="21"/>
                <w:highlight w:val="none"/>
                <w:vertAlign w:val="baseline"/>
              </w:rPr>
            </w:pPr>
            <w:r>
              <w:rPr>
                <w:rFonts w:hint="eastAsia" w:ascii="宋体" w:hAnsi="宋体" w:cs="宋体"/>
                <w:i w:val="0"/>
                <w:iCs w:val="0"/>
                <w:color w:val="000000"/>
                <w:kern w:val="0"/>
                <w:sz w:val="21"/>
                <w:szCs w:val="21"/>
                <w:u w:val="none"/>
                <w:lang w:val="en-US" w:eastAsia="zh-CN" w:bidi="ar"/>
              </w:rPr>
              <w:t>广东省社会科学院党组副书记、</w:t>
            </w:r>
            <w:r>
              <w:rPr>
                <w:rFonts w:hint="eastAsia" w:ascii="宋体" w:hAnsi="宋体" w:eastAsia="宋体" w:cs="宋体"/>
                <w:i w:val="0"/>
                <w:iCs w:val="0"/>
                <w:color w:val="000000"/>
                <w:kern w:val="0"/>
                <w:sz w:val="21"/>
                <w:szCs w:val="21"/>
                <w:u w:val="none"/>
                <w:lang w:val="en-US" w:eastAsia="zh-CN" w:bidi="ar"/>
              </w:rPr>
              <w:t>院长</w:t>
            </w:r>
            <w:r>
              <w:rPr>
                <w:rFonts w:hint="eastAsia" w:ascii="宋体" w:hAnsi="宋体" w:cs="宋体"/>
                <w:i w:val="0"/>
                <w:iCs w:val="0"/>
                <w:color w:val="000000"/>
                <w:kern w:val="0"/>
                <w:sz w:val="21"/>
                <w:szCs w:val="21"/>
                <w:u w:val="none"/>
                <w:lang w:val="en-US" w:eastAsia="zh-CN" w:bidi="ar"/>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82" w:type="dxa"/>
            <w:vAlign w:val="center"/>
          </w:tcPr>
          <w:p>
            <w:pPr>
              <w:keepNext w:val="0"/>
              <w:keepLines w:val="0"/>
              <w:widowControl w:val="0"/>
              <w:suppressLineNumbers w:val="0"/>
              <w:spacing w:line="288" w:lineRule="auto"/>
              <w:ind w:firstLine="0" w:firstLineChars="0"/>
              <w:jc w:val="center"/>
              <w:textAlignment w:val="center"/>
              <w:rPr>
                <w:rFonts w:hint="default" w:ascii="Times New Roman" w:hAnsi="Times New Roman" w:eastAsia="宋体" w:cs="Times New Roman"/>
                <w:kern w:val="0"/>
                <w:sz w:val="21"/>
                <w:szCs w:val="24"/>
                <w:highlight w:val="none"/>
                <w:vertAlign w:val="baseline"/>
              </w:rPr>
            </w:pPr>
            <w:r>
              <w:rPr>
                <w:rFonts w:hint="default" w:ascii="Times New Roman" w:hAnsi="Times New Roman" w:eastAsia="宋体" w:cs="Times New Roman"/>
                <w:i w:val="0"/>
                <w:iCs w:val="0"/>
                <w:color w:val="auto"/>
                <w:kern w:val="0"/>
                <w:sz w:val="21"/>
                <w:szCs w:val="24"/>
                <w:u w:val="none"/>
                <w:lang w:val="en-US" w:eastAsia="zh-CN" w:bidi="ar-SA"/>
              </w:rPr>
              <w:t>2</w:t>
            </w:r>
          </w:p>
        </w:tc>
        <w:tc>
          <w:tcPr>
            <w:tcW w:w="4503" w:type="dxa"/>
            <w:vAlign w:val="center"/>
          </w:tcPr>
          <w:p>
            <w:pPr>
              <w:keepNext w:val="0"/>
              <w:keepLines w:val="0"/>
              <w:widowControl w:val="0"/>
              <w:suppressLineNumbers w:val="0"/>
              <w:spacing w:line="288" w:lineRule="auto"/>
              <w:ind w:firstLine="0" w:firstLineChars="0"/>
              <w:jc w:val="center"/>
              <w:textAlignment w:val="center"/>
              <w:rPr>
                <w:rFonts w:hint="eastAsia" w:ascii="Times New Roman" w:hAnsi="Times New Roman" w:eastAsia="宋体" w:cs="Times New Roman"/>
                <w:sz w:val="21"/>
                <w:szCs w:val="21"/>
                <w:highlight w:val="none"/>
                <w:vertAlign w:val="baseline"/>
              </w:rPr>
            </w:pPr>
            <w:r>
              <w:rPr>
                <w:rFonts w:hint="eastAsia" w:ascii="宋体" w:hAnsi="宋体" w:eastAsia="宋体" w:cs="宋体"/>
                <w:i w:val="0"/>
                <w:iCs w:val="0"/>
                <w:color w:val="000000"/>
                <w:kern w:val="0"/>
                <w:sz w:val="21"/>
                <w:szCs w:val="21"/>
                <w:u w:val="none"/>
                <w:lang w:val="en-US" w:eastAsia="zh-CN" w:bidi="ar"/>
              </w:rPr>
              <w:t>“学习雷锋精神，做新时代传人”主题的思政大课</w:t>
            </w:r>
          </w:p>
        </w:tc>
        <w:tc>
          <w:tcPr>
            <w:tcW w:w="3130" w:type="dxa"/>
            <w:vAlign w:val="center"/>
          </w:tcPr>
          <w:p>
            <w:pPr>
              <w:keepNext w:val="0"/>
              <w:keepLines w:val="0"/>
              <w:widowControl w:val="0"/>
              <w:suppressLineNumbers w:val="0"/>
              <w:spacing w:line="288" w:lineRule="auto"/>
              <w:ind w:firstLine="0" w:firstLineChars="0"/>
              <w:jc w:val="center"/>
              <w:textAlignment w:val="center"/>
              <w:rPr>
                <w:rFonts w:hint="eastAsia" w:ascii="Times New Roman" w:hAnsi="Times New Roman" w:eastAsia="宋体" w:cs="Times New Roman"/>
                <w:sz w:val="21"/>
                <w:szCs w:val="21"/>
                <w:highlight w:val="none"/>
                <w:vertAlign w:val="baseline"/>
              </w:rPr>
            </w:pPr>
            <w:r>
              <w:rPr>
                <w:rFonts w:hint="eastAsia" w:ascii="宋体" w:hAnsi="宋体" w:eastAsia="宋体" w:cs="宋体"/>
                <w:i w:val="0"/>
                <w:iCs w:val="0"/>
                <w:color w:val="000000"/>
                <w:kern w:val="0"/>
                <w:sz w:val="21"/>
                <w:szCs w:val="21"/>
                <w:u w:val="none"/>
                <w:lang w:val="en-US" w:eastAsia="zh-CN" w:bidi="ar"/>
              </w:rPr>
              <w:t>李哓晖、张晗主持（</w:t>
            </w:r>
            <w:r>
              <w:rPr>
                <w:rFonts w:hint="default" w:ascii="Times New Roman" w:hAnsi="Times New Roman" w:eastAsia="宋体" w:cs="Times New Roman"/>
                <w:i w:val="0"/>
                <w:iCs w:val="0"/>
                <w:color w:val="auto"/>
                <w:kern w:val="0"/>
                <w:sz w:val="21"/>
                <w:szCs w:val="24"/>
                <w:u w:val="none"/>
                <w:lang w:val="en-US" w:eastAsia="zh-CN" w:bidi="ar-SA"/>
              </w:rPr>
              <w:t>2022</w:t>
            </w:r>
            <w:r>
              <w:rPr>
                <w:rFonts w:hint="eastAsia" w:ascii="宋体" w:hAnsi="宋体" w:eastAsia="宋体" w:cs="宋体"/>
                <w:i w:val="0"/>
                <w:iCs w:val="0"/>
                <w:color w:val="000000"/>
                <w:kern w:val="0"/>
                <w:sz w:val="21"/>
                <w:szCs w:val="21"/>
                <w:u w:val="none"/>
                <w:lang w:val="en-US" w:eastAsia="zh-CN" w:bidi="ar"/>
              </w:rPr>
              <w:t>级学生党小组干部）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82" w:type="dxa"/>
            <w:vAlign w:val="center"/>
          </w:tcPr>
          <w:p>
            <w:pPr>
              <w:keepNext w:val="0"/>
              <w:keepLines w:val="0"/>
              <w:widowControl w:val="0"/>
              <w:suppressLineNumbers w:val="0"/>
              <w:spacing w:line="288" w:lineRule="auto"/>
              <w:ind w:firstLine="0" w:firstLineChars="0"/>
              <w:jc w:val="center"/>
              <w:textAlignment w:val="center"/>
              <w:rPr>
                <w:rFonts w:hint="default" w:ascii="Times New Roman" w:hAnsi="Times New Roman" w:eastAsia="宋体" w:cs="Times New Roman"/>
                <w:kern w:val="0"/>
                <w:sz w:val="21"/>
                <w:szCs w:val="24"/>
                <w:highlight w:val="none"/>
                <w:vertAlign w:val="baseline"/>
              </w:rPr>
            </w:pPr>
            <w:r>
              <w:rPr>
                <w:rFonts w:hint="eastAsia" w:ascii="Times New Roman" w:hAnsi="Times New Roman" w:cs="Times New Roman"/>
                <w:i w:val="0"/>
                <w:iCs w:val="0"/>
                <w:kern w:val="0"/>
                <w:sz w:val="21"/>
                <w:szCs w:val="24"/>
                <w:u w:val="none"/>
                <w:lang w:val="en-US" w:eastAsia="zh-CN" w:bidi="ar-SA"/>
              </w:rPr>
              <w:t>3</w:t>
            </w:r>
          </w:p>
        </w:tc>
        <w:tc>
          <w:tcPr>
            <w:tcW w:w="4503" w:type="dxa"/>
            <w:vAlign w:val="center"/>
          </w:tcPr>
          <w:p>
            <w:pPr>
              <w:keepNext w:val="0"/>
              <w:keepLines w:val="0"/>
              <w:widowControl w:val="0"/>
              <w:suppressLineNumbers w:val="0"/>
              <w:spacing w:line="288" w:lineRule="auto"/>
              <w:ind w:firstLine="0" w:firstLineChars="0"/>
              <w:jc w:val="center"/>
              <w:textAlignment w:val="center"/>
              <w:rPr>
                <w:rFonts w:hint="eastAsia" w:ascii="Times New Roman" w:hAnsi="Times New Roman" w:eastAsia="宋体" w:cs="Times New Roman"/>
                <w:sz w:val="21"/>
                <w:szCs w:val="21"/>
                <w:highlight w:val="none"/>
                <w:vertAlign w:val="baseline"/>
              </w:rPr>
            </w:pPr>
            <w:r>
              <w:rPr>
                <w:rFonts w:hint="eastAsia" w:ascii="宋体" w:hAnsi="宋体" w:eastAsia="宋体" w:cs="宋体"/>
                <w:i w:val="0"/>
                <w:iCs w:val="0"/>
                <w:color w:val="000000"/>
                <w:kern w:val="0"/>
                <w:sz w:val="21"/>
                <w:szCs w:val="21"/>
                <w:u w:val="none"/>
                <w:lang w:val="en-US" w:eastAsia="zh-CN" w:bidi="ar"/>
              </w:rPr>
              <w:t>“大思政”专题讲座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——两会代表谈心得体会</w:t>
            </w:r>
          </w:p>
        </w:tc>
        <w:tc>
          <w:tcPr>
            <w:tcW w:w="3130" w:type="dxa"/>
            <w:vAlign w:val="center"/>
          </w:tcPr>
          <w:p>
            <w:pPr>
              <w:keepNext w:val="0"/>
              <w:keepLines w:val="0"/>
              <w:widowControl w:val="0"/>
              <w:suppressLineNumbers w:val="0"/>
              <w:spacing w:line="288" w:lineRule="auto"/>
              <w:ind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杨丽婷 </w:t>
            </w:r>
          </w:p>
          <w:p>
            <w:pPr>
              <w:keepNext w:val="0"/>
              <w:keepLines w:val="0"/>
              <w:widowControl w:val="0"/>
              <w:suppressLineNumbers w:val="0"/>
              <w:spacing w:line="288" w:lineRule="auto"/>
              <w:ind w:firstLine="0" w:firstLineChars="0"/>
              <w:jc w:val="center"/>
              <w:textAlignment w:val="center"/>
              <w:rPr>
                <w:rFonts w:hint="eastAsia" w:ascii="Times New Roman" w:hAnsi="Times New Roman" w:eastAsia="宋体" w:cs="Times New Roman"/>
                <w:sz w:val="21"/>
                <w:szCs w:val="21"/>
                <w:highlight w:val="none"/>
                <w:vertAlign w:val="baseline"/>
              </w:rPr>
            </w:pPr>
            <w:r>
              <w:rPr>
                <w:rFonts w:hint="eastAsia" w:ascii="宋体" w:hAnsi="宋体" w:cs="宋体"/>
                <w:i w:val="0"/>
                <w:iCs w:val="0"/>
                <w:color w:val="000000"/>
                <w:kern w:val="0"/>
                <w:sz w:val="21"/>
                <w:szCs w:val="21"/>
                <w:u w:val="none"/>
                <w:lang w:val="en-US" w:eastAsia="zh-CN" w:bidi="ar"/>
              </w:rPr>
              <w:t>广东省社会科学院哲学与宗教研究所所长、</w:t>
            </w:r>
            <w:r>
              <w:rPr>
                <w:rFonts w:hint="eastAsia" w:ascii="宋体" w:hAnsi="宋体" w:eastAsia="宋体" w:cs="宋体"/>
                <w:i w:val="0"/>
                <w:iCs w:val="0"/>
                <w:color w:val="000000"/>
                <w:kern w:val="0"/>
                <w:sz w:val="21"/>
                <w:szCs w:val="21"/>
                <w:u w:val="none"/>
                <w:lang w:val="en-US" w:eastAsia="zh-CN" w:bidi="ar"/>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82" w:type="dxa"/>
            <w:vAlign w:val="center"/>
          </w:tcPr>
          <w:p>
            <w:pPr>
              <w:keepNext w:val="0"/>
              <w:keepLines w:val="0"/>
              <w:widowControl w:val="0"/>
              <w:suppressLineNumbers w:val="0"/>
              <w:spacing w:line="288" w:lineRule="auto"/>
              <w:ind w:firstLine="0" w:firstLineChars="0"/>
              <w:jc w:val="center"/>
              <w:textAlignment w:val="center"/>
              <w:rPr>
                <w:rFonts w:hint="default" w:ascii="Times New Roman" w:hAnsi="Times New Roman" w:eastAsia="宋体" w:cs="Times New Roman"/>
                <w:kern w:val="0"/>
                <w:sz w:val="21"/>
                <w:szCs w:val="24"/>
                <w:highlight w:val="none"/>
                <w:vertAlign w:val="baseline"/>
              </w:rPr>
            </w:pPr>
            <w:r>
              <w:rPr>
                <w:rFonts w:hint="eastAsia" w:ascii="Times New Roman" w:hAnsi="Times New Roman" w:cs="Times New Roman"/>
                <w:i w:val="0"/>
                <w:iCs w:val="0"/>
                <w:kern w:val="0"/>
                <w:sz w:val="21"/>
                <w:szCs w:val="24"/>
                <w:u w:val="none"/>
                <w:lang w:val="en-US" w:eastAsia="zh-CN" w:bidi="ar-SA"/>
              </w:rPr>
              <w:t>4</w:t>
            </w:r>
          </w:p>
        </w:tc>
        <w:tc>
          <w:tcPr>
            <w:tcW w:w="4503" w:type="dxa"/>
            <w:vAlign w:val="center"/>
          </w:tcPr>
          <w:p>
            <w:pPr>
              <w:keepNext w:val="0"/>
              <w:keepLines w:val="0"/>
              <w:widowControl w:val="0"/>
              <w:suppressLineNumbers w:val="0"/>
              <w:spacing w:line="288" w:lineRule="auto"/>
              <w:ind w:firstLine="0" w:firstLineChars="0"/>
              <w:jc w:val="center"/>
              <w:textAlignment w:val="center"/>
              <w:rPr>
                <w:rFonts w:hint="eastAsia" w:ascii="Times New Roman" w:hAnsi="Times New Roman" w:eastAsia="宋体" w:cs="Times New Roman"/>
                <w:sz w:val="21"/>
                <w:szCs w:val="21"/>
                <w:highlight w:val="none"/>
                <w:vertAlign w:val="baseline"/>
              </w:rPr>
            </w:pPr>
            <w:r>
              <w:rPr>
                <w:rFonts w:hint="eastAsia" w:ascii="宋体" w:hAnsi="宋体" w:eastAsia="宋体" w:cs="宋体"/>
                <w:i w:val="0"/>
                <w:iCs w:val="0"/>
                <w:color w:val="000000"/>
                <w:kern w:val="0"/>
                <w:sz w:val="21"/>
                <w:szCs w:val="21"/>
                <w:u w:val="none"/>
                <w:lang w:val="en-US" w:eastAsia="zh-CN" w:bidi="ar"/>
              </w:rPr>
              <w:t>参观院史馆——学习、传承院的优良文化传统</w:t>
            </w:r>
          </w:p>
        </w:tc>
        <w:tc>
          <w:tcPr>
            <w:tcW w:w="3130" w:type="dxa"/>
            <w:vAlign w:val="center"/>
          </w:tcPr>
          <w:p>
            <w:pPr>
              <w:keepNext w:val="0"/>
              <w:keepLines w:val="0"/>
              <w:widowControl w:val="0"/>
              <w:suppressLineNumbers w:val="0"/>
              <w:spacing w:line="288" w:lineRule="auto"/>
              <w:ind w:firstLine="0" w:firstLineChars="0"/>
              <w:jc w:val="center"/>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 xml:space="preserve">邱静怡 </w:t>
            </w:r>
          </w:p>
          <w:p>
            <w:pPr>
              <w:pStyle w:val="2"/>
              <w:rPr>
                <w:rFonts w:hint="eastAsia"/>
              </w:rPr>
            </w:pPr>
            <w:r>
              <w:rPr>
                <w:rFonts w:hint="eastAsia" w:ascii="宋体" w:hAnsi="宋体" w:cs="宋体"/>
                <w:i w:val="0"/>
                <w:iCs w:val="0"/>
                <w:color w:val="000000"/>
                <w:kern w:val="0"/>
                <w:sz w:val="21"/>
                <w:szCs w:val="21"/>
                <w:u w:val="none"/>
                <w:lang w:val="en-US" w:eastAsia="zh-CN" w:bidi="ar"/>
              </w:rPr>
              <w:t>广东省社会科学院办公室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82" w:type="dxa"/>
            <w:vAlign w:val="center"/>
          </w:tcPr>
          <w:p>
            <w:pPr>
              <w:keepNext w:val="0"/>
              <w:keepLines w:val="0"/>
              <w:widowControl w:val="0"/>
              <w:suppressLineNumbers w:val="0"/>
              <w:spacing w:line="288" w:lineRule="auto"/>
              <w:ind w:firstLine="0" w:firstLineChars="0"/>
              <w:jc w:val="center"/>
              <w:textAlignment w:val="center"/>
              <w:rPr>
                <w:rFonts w:hint="default" w:ascii="Times New Roman" w:hAnsi="Times New Roman" w:eastAsia="宋体" w:cs="Times New Roman"/>
                <w:kern w:val="0"/>
                <w:sz w:val="21"/>
                <w:szCs w:val="24"/>
                <w:highlight w:val="none"/>
                <w:vertAlign w:val="baseline"/>
              </w:rPr>
            </w:pPr>
            <w:r>
              <w:rPr>
                <w:rFonts w:hint="eastAsia" w:ascii="Times New Roman" w:hAnsi="Times New Roman" w:cs="Times New Roman"/>
                <w:i w:val="0"/>
                <w:iCs w:val="0"/>
                <w:kern w:val="0"/>
                <w:sz w:val="21"/>
                <w:szCs w:val="24"/>
                <w:u w:val="none"/>
                <w:lang w:val="en-US" w:eastAsia="zh-CN" w:bidi="ar-SA"/>
              </w:rPr>
              <w:t>5</w:t>
            </w:r>
          </w:p>
        </w:tc>
        <w:tc>
          <w:tcPr>
            <w:tcW w:w="4503" w:type="dxa"/>
            <w:vAlign w:val="center"/>
          </w:tcPr>
          <w:p>
            <w:pPr>
              <w:keepNext w:val="0"/>
              <w:keepLines w:val="0"/>
              <w:widowControl w:val="0"/>
              <w:suppressLineNumbers w:val="0"/>
              <w:spacing w:line="288" w:lineRule="auto"/>
              <w:ind w:firstLine="0" w:firstLineChars="0"/>
              <w:jc w:val="center"/>
              <w:textAlignment w:val="center"/>
              <w:rPr>
                <w:rFonts w:hint="eastAsia" w:ascii="Times New Roman" w:hAnsi="Times New Roman" w:eastAsia="宋体" w:cs="Times New Roman"/>
                <w:sz w:val="21"/>
                <w:szCs w:val="21"/>
                <w:highlight w:val="none"/>
                <w:vertAlign w:val="baseline"/>
              </w:rPr>
            </w:pPr>
            <w:r>
              <w:rPr>
                <w:rFonts w:hint="eastAsia" w:ascii="宋体" w:hAnsi="宋体" w:eastAsia="宋体" w:cs="宋体"/>
                <w:i w:val="0"/>
                <w:iCs w:val="0"/>
                <w:color w:val="000000"/>
                <w:kern w:val="0"/>
                <w:sz w:val="21"/>
                <w:szCs w:val="21"/>
                <w:u w:val="none"/>
                <w:lang w:val="en-US" w:eastAsia="zh-CN" w:bidi="ar"/>
              </w:rPr>
              <w:t>学习贯彻习近平新时代中国特色社会主义思想主题教育青年读书会第</w:t>
            </w:r>
            <w:r>
              <w:rPr>
                <w:rFonts w:hint="eastAsia" w:ascii="宋体" w:hAnsi="宋体" w:cs="宋体"/>
                <w:i w:val="0"/>
                <w:iCs w:val="0"/>
                <w:color w:val="000000"/>
                <w:kern w:val="0"/>
                <w:sz w:val="21"/>
                <w:szCs w:val="21"/>
                <w:u w:val="none"/>
                <w:lang w:val="en-US" w:eastAsia="zh-CN" w:bidi="ar"/>
              </w:rPr>
              <w:t>一、</w:t>
            </w:r>
            <w:r>
              <w:rPr>
                <w:rFonts w:hint="eastAsia" w:ascii="宋体" w:hAnsi="宋体" w:eastAsia="宋体" w:cs="宋体"/>
                <w:i w:val="0"/>
                <w:iCs w:val="0"/>
                <w:color w:val="000000"/>
                <w:kern w:val="0"/>
                <w:sz w:val="21"/>
                <w:szCs w:val="21"/>
                <w:u w:val="none"/>
                <w:lang w:val="en-US" w:eastAsia="zh-CN" w:bidi="ar"/>
              </w:rPr>
              <w:t>二期</w:t>
            </w:r>
          </w:p>
        </w:tc>
        <w:tc>
          <w:tcPr>
            <w:tcW w:w="3130" w:type="dxa"/>
            <w:vAlign w:val="center"/>
          </w:tcPr>
          <w:p>
            <w:pPr>
              <w:keepNext w:val="0"/>
              <w:keepLines w:val="0"/>
              <w:widowControl w:val="0"/>
              <w:suppressLineNumbers w:val="0"/>
              <w:spacing w:line="288" w:lineRule="auto"/>
              <w:ind w:firstLine="0" w:firstLineChars="0"/>
              <w:jc w:val="center"/>
              <w:textAlignment w:val="center"/>
              <w:rPr>
                <w:rFonts w:hint="default" w:ascii="Times New Roman" w:hAnsi="Times New Roman" w:eastAsia="宋体" w:cs="Times New Roman"/>
                <w:sz w:val="21"/>
                <w:szCs w:val="21"/>
                <w:highlight w:val="none"/>
                <w:vertAlign w:val="baseline"/>
              </w:rPr>
            </w:pPr>
            <w:r>
              <w:rPr>
                <w:rFonts w:hint="eastAsia" w:ascii="宋体" w:hAnsi="宋体" w:cs="宋体"/>
                <w:i w:val="0"/>
                <w:iCs w:val="0"/>
                <w:color w:val="000000"/>
                <w:kern w:val="0"/>
                <w:sz w:val="21"/>
                <w:szCs w:val="21"/>
                <w:u w:val="none"/>
                <w:lang w:val="en-US" w:eastAsia="zh-CN" w:bidi="ar"/>
              </w:rPr>
              <w:t>院党组成员</w:t>
            </w:r>
            <w:bookmarkStart w:id="270" w:name="_GoBack"/>
            <w:bookmarkEnd w:id="2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82" w:type="dxa"/>
            <w:vAlign w:val="center"/>
          </w:tcPr>
          <w:p>
            <w:pPr>
              <w:keepNext w:val="0"/>
              <w:keepLines w:val="0"/>
              <w:widowControl w:val="0"/>
              <w:suppressLineNumbers w:val="0"/>
              <w:spacing w:line="288" w:lineRule="auto"/>
              <w:ind w:firstLine="0" w:firstLineChars="0"/>
              <w:jc w:val="center"/>
              <w:textAlignment w:val="center"/>
              <w:rPr>
                <w:rFonts w:hint="default" w:ascii="Times New Roman" w:hAnsi="Times New Roman" w:eastAsia="宋体" w:cs="Times New Roman"/>
                <w:kern w:val="0"/>
                <w:sz w:val="21"/>
                <w:szCs w:val="24"/>
                <w:highlight w:val="none"/>
                <w:vertAlign w:val="baseline"/>
              </w:rPr>
            </w:pPr>
            <w:r>
              <w:rPr>
                <w:rFonts w:hint="eastAsia" w:ascii="Times New Roman" w:hAnsi="Times New Roman" w:cs="Times New Roman"/>
                <w:i w:val="0"/>
                <w:iCs w:val="0"/>
                <w:kern w:val="0"/>
                <w:sz w:val="21"/>
                <w:szCs w:val="24"/>
                <w:u w:val="none"/>
                <w:lang w:val="en-US" w:eastAsia="zh-CN" w:bidi="ar-SA"/>
              </w:rPr>
              <w:t>6</w:t>
            </w:r>
          </w:p>
        </w:tc>
        <w:tc>
          <w:tcPr>
            <w:tcW w:w="4503" w:type="dxa"/>
            <w:vAlign w:val="center"/>
          </w:tcPr>
          <w:p>
            <w:pPr>
              <w:keepNext w:val="0"/>
              <w:keepLines w:val="0"/>
              <w:widowControl w:val="0"/>
              <w:suppressLineNumbers w:val="0"/>
              <w:spacing w:line="288" w:lineRule="auto"/>
              <w:ind w:firstLine="0" w:firstLineChars="0"/>
              <w:jc w:val="center"/>
              <w:textAlignment w:val="center"/>
              <w:rPr>
                <w:rFonts w:hint="eastAsia" w:ascii="Times New Roman" w:hAnsi="Times New Roman" w:eastAsia="宋体" w:cs="Times New Roman"/>
                <w:sz w:val="21"/>
                <w:szCs w:val="21"/>
                <w:highlight w:val="none"/>
                <w:vertAlign w:val="baseline"/>
              </w:rPr>
            </w:pPr>
            <w:r>
              <w:rPr>
                <w:rFonts w:hint="eastAsia" w:ascii="宋体" w:hAnsi="宋体" w:eastAsia="宋体" w:cs="宋体"/>
                <w:i w:val="0"/>
                <w:iCs w:val="0"/>
                <w:color w:val="000000"/>
                <w:kern w:val="0"/>
                <w:sz w:val="21"/>
                <w:szCs w:val="21"/>
                <w:u w:val="none"/>
                <w:lang w:val="en-US" w:eastAsia="zh-CN" w:bidi="ar"/>
              </w:rPr>
              <w:t>“大思政”专题讲座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——研究生如何正确面向就业和走向社会</w:t>
            </w:r>
          </w:p>
        </w:tc>
        <w:tc>
          <w:tcPr>
            <w:tcW w:w="3130" w:type="dxa"/>
            <w:vAlign w:val="center"/>
          </w:tcPr>
          <w:p>
            <w:pPr>
              <w:keepNext w:val="0"/>
              <w:keepLines w:val="0"/>
              <w:widowControl w:val="0"/>
              <w:suppressLineNumbers w:val="0"/>
              <w:spacing w:line="288" w:lineRule="auto"/>
              <w:ind w:firstLine="0" w:firstLineChars="0"/>
              <w:jc w:val="center"/>
              <w:textAlignment w:val="center"/>
              <w:rPr>
                <w:rFonts w:hint="eastAsia" w:ascii="Times New Roman" w:hAnsi="Times New Roman" w:eastAsia="宋体" w:cs="Times New Roman"/>
                <w:sz w:val="21"/>
                <w:szCs w:val="21"/>
                <w:highlight w:val="none"/>
                <w:vertAlign w:val="baseline"/>
              </w:rPr>
            </w:pPr>
            <w:r>
              <w:rPr>
                <w:rFonts w:hint="eastAsia" w:ascii="宋体" w:hAnsi="宋体" w:eastAsia="宋体" w:cs="宋体"/>
                <w:i w:val="0"/>
                <w:iCs w:val="0"/>
                <w:color w:val="000000"/>
                <w:kern w:val="0"/>
                <w:sz w:val="21"/>
                <w:szCs w:val="21"/>
                <w:u w:val="none"/>
                <w:lang w:val="en-US" w:eastAsia="zh-CN" w:bidi="ar"/>
              </w:rPr>
              <w:t>卢远  博士</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暨南大学外国语学院党委书记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82" w:type="dxa"/>
            <w:vAlign w:val="center"/>
          </w:tcPr>
          <w:p>
            <w:pPr>
              <w:keepNext w:val="0"/>
              <w:keepLines w:val="0"/>
              <w:widowControl w:val="0"/>
              <w:suppressLineNumbers w:val="0"/>
              <w:spacing w:line="288" w:lineRule="auto"/>
              <w:ind w:firstLine="0" w:firstLineChars="0"/>
              <w:jc w:val="center"/>
              <w:textAlignment w:val="center"/>
              <w:rPr>
                <w:rFonts w:hint="default" w:ascii="Times New Roman" w:hAnsi="Times New Roman" w:eastAsia="宋体" w:cs="Times New Roman"/>
                <w:kern w:val="0"/>
                <w:sz w:val="21"/>
                <w:szCs w:val="24"/>
                <w:highlight w:val="none"/>
                <w:vertAlign w:val="baseline"/>
              </w:rPr>
            </w:pPr>
            <w:r>
              <w:rPr>
                <w:rFonts w:hint="eastAsia" w:ascii="Times New Roman" w:hAnsi="Times New Roman" w:cs="Times New Roman"/>
                <w:i w:val="0"/>
                <w:iCs w:val="0"/>
                <w:kern w:val="0"/>
                <w:sz w:val="21"/>
                <w:szCs w:val="24"/>
                <w:u w:val="none"/>
                <w:lang w:val="en-US" w:eastAsia="zh-CN" w:bidi="ar-SA"/>
              </w:rPr>
              <w:t>7</w:t>
            </w:r>
          </w:p>
        </w:tc>
        <w:tc>
          <w:tcPr>
            <w:tcW w:w="4503" w:type="dxa"/>
            <w:vAlign w:val="center"/>
          </w:tcPr>
          <w:p>
            <w:pPr>
              <w:keepNext w:val="0"/>
              <w:keepLines w:val="0"/>
              <w:widowControl w:val="0"/>
              <w:suppressLineNumbers w:val="0"/>
              <w:spacing w:line="288" w:lineRule="auto"/>
              <w:ind w:firstLine="0" w:firstLineChars="0"/>
              <w:jc w:val="center"/>
              <w:textAlignment w:val="center"/>
              <w:rPr>
                <w:rFonts w:hint="eastAsia" w:ascii="Times New Roman" w:hAnsi="Times New Roman" w:eastAsia="宋体" w:cs="Times New Roman"/>
                <w:sz w:val="21"/>
                <w:szCs w:val="21"/>
                <w:highlight w:val="none"/>
                <w:vertAlign w:val="baseline"/>
              </w:rPr>
            </w:pPr>
            <w:r>
              <w:rPr>
                <w:rFonts w:hint="eastAsia" w:ascii="宋体" w:hAnsi="宋体" w:eastAsia="宋体" w:cs="宋体"/>
                <w:i w:val="0"/>
                <w:iCs w:val="0"/>
                <w:color w:val="000000"/>
                <w:kern w:val="0"/>
                <w:sz w:val="21"/>
                <w:szCs w:val="21"/>
                <w:u w:val="none"/>
                <w:lang w:val="en-US" w:eastAsia="zh-CN" w:bidi="ar"/>
              </w:rPr>
              <w:t>“大思政”专题讲座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——“总体国家安全观视角下的我国安全形势分析”</w:t>
            </w:r>
          </w:p>
        </w:tc>
        <w:tc>
          <w:tcPr>
            <w:tcW w:w="3130" w:type="dxa"/>
            <w:vAlign w:val="center"/>
          </w:tcPr>
          <w:p>
            <w:pPr>
              <w:keepNext w:val="0"/>
              <w:keepLines w:val="0"/>
              <w:widowControl w:val="0"/>
              <w:suppressLineNumbers w:val="0"/>
              <w:spacing w:line="288" w:lineRule="auto"/>
              <w:ind w:firstLine="0" w:firstLineChars="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王向方</w:t>
            </w:r>
            <w:r>
              <w:rPr>
                <w:rFonts w:hint="eastAsia" w:ascii="宋体" w:hAnsi="宋体" w:cs="宋体"/>
                <w:i w:val="0"/>
                <w:iCs w:val="0"/>
                <w:color w:val="000000"/>
                <w:kern w:val="0"/>
                <w:sz w:val="21"/>
                <w:szCs w:val="21"/>
                <w:u w:val="none"/>
                <w:lang w:val="en-US" w:eastAsia="zh-CN" w:bidi="ar"/>
              </w:rPr>
              <w:t xml:space="preserve"> </w:t>
            </w:r>
          </w:p>
          <w:p>
            <w:pPr>
              <w:keepNext w:val="0"/>
              <w:keepLines w:val="0"/>
              <w:widowControl w:val="0"/>
              <w:suppressLineNumbers w:val="0"/>
              <w:spacing w:line="288" w:lineRule="auto"/>
              <w:ind w:firstLine="0" w:firstLineChars="0"/>
              <w:jc w:val="center"/>
              <w:textAlignment w:val="center"/>
              <w:rPr>
                <w:rFonts w:hint="eastAsia" w:ascii="Times New Roman" w:hAnsi="Times New Roman" w:eastAsia="宋体" w:cs="Times New Roman"/>
                <w:sz w:val="21"/>
                <w:szCs w:val="21"/>
                <w:highlight w:val="none"/>
                <w:vertAlign w:val="baseline"/>
              </w:rPr>
            </w:pPr>
            <w:r>
              <w:rPr>
                <w:rFonts w:hint="eastAsia" w:ascii="宋体" w:hAnsi="宋体" w:cs="宋体"/>
                <w:i w:val="0"/>
                <w:iCs w:val="0"/>
                <w:color w:val="000000"/>
                <w:kern w:val="0"/>
                <w:sz w:val="21"/>
                <w:szCs w:val="21"/>
                <w:u w:val="none"/>
                <w:lang w:val="en-US" w:eastAsia="zh-CN" w:bidi="ar"/>
              </w:rPr>
              <w:t>华南农业大学</w:t>
            </w:r>
            <w:r>
              <w:rPr>
                <w:rFonts w:hint="eastAsia" w:ascii="宋体" w:hAnsi="宋体" w:eastAsia="宋体" w:cs="宋体"/>
                <w:i w:val="0"/>
                <w:iCs w:val="0"/>
                <w:color w:val="000000"/>
                <w:kern w:val="0"/>
                <w:sz w:val="21"/>
                <w:szCs w:val="21"/>
                <w:u w:val="none"/>
                <w:lang w:val="en-US" w:eastAsia="zh-CN" w:bidi="ar"/>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82" w:type="dxa"/>
            <w:vAlign w:val="center"/>
          </w:tcPr>
          <w:p>
            <w:pPr>
              <w:keepNext w:val="0"/>
              <w:keepLines w:val="0"/>
              <w:widowControl w:val="0"/>
              <w:suppressLineNumbers w:val="0"/>
              <w:spacing w:line="288" w:lineRule="auto"/>
              <w:ind w:firstLine="0" w:firstLineChars="0"/>
              <w:jc w:val="center"/>
              <w:textAlignment w:val="center"/>
              <w:rPr>
                <w:rFonts w:hint="default" w:ascii="Times New Roman" w:hAnsi="Times New Roman" w:eastAsia="宋体" w:cs="Times New Roman"/>
                <w:kern w:val="0"/>
                <w:sz w:val="21"/>
                <w:szCs w:val="24"/>
                <w:highlight w:val="none"/>
                <w:vertAlign w:val="baseline"/>
              </w:rPr>
            </w:pPr>
            <w:r>
              <w:rPr>
                <w:rFonts w:hint="eastAsia" w:ascii="Times New Roman" w:hAnsi="Times New Roman" w:cs="Times New Roman"/>
                <w:i w:val="0"/>
                <w:iCs w:val="0"/>
                <w:kern w:val="0"/>
                <w:sz w:val="21"/>
                <w:szCs w:val="24"/>
                <w:u w:val="none"/>
                <w:lang w:val="en-US" w:eastAsia="zh-CN" w:bidi="ar-SA"/>
              </w:rPr>
              <w:t>8</w:t>
            </w:r>
          </w:p>
        </w:tc>
        <w:tc>
          <w:tcPr>
            <w:tcW w:w="4503" w:type="dxa"/>
            <w:vAlign w:val="center"/>
          </w:tcPr>
          <w:p>
            <w:pPr>
              <w:keepNext w:val="0"/>
              <w:keepLines w:val="0"/>
              <w:widowControl w:val="0"/>
              <w:suppressLineNumbers w:val="0"/>
              <w:spacing w:line="288" w:lineRule="auto"/>
              <w:ind w:firstLine="0" w:firstLineChars="0"/>
              <w:jc w:val="center"/>
              <w:textAlignment w:val="center"/>
              <w:rPr>
                <w:rFonts w:hint="eastAsia" w:ascii="Times New Roman" w:hAnsi="Times New Roman" w:eastAsia="宋体" w:cs="Times New Roman"/>
                <w:sz w:val="21"/>
                <w:szCs w:val="21"/>
                <w:highlight w:val="none"/>
                <w:vertAlign w:val="baseline"/>
              </w:rPr>
            </w:pPr>
            <w:r>
              <w:rPr>
                <w:rFonts w:hint="eastAsia" w:ascii="宋体" w:hAnsi="宋体" w:eastAsia="宋体" w:cs="宋体"/>
                <w:i w:val="0"/>
                <w:iCs w:val="0"/>
                <w:color w:val="000000"/>
                <w:kern w:val="0"/>
                <w:sz w:val="21"/>
                <w:szCs w:val="21"/>
                <w:u w:val="none"/>
                <w:lang w:val="en-US" w:eastAsia="zh-CN" w:bidi="ar"/>
              </w:rPr>
              <w:t>“大思政”专题讲座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——“心理健康，从一个公式讲开来…”</w:t>
            </w:r>
          </w:p>
        </w:tc>
        <w:tc>
          <w:tcPr>
            <w:tcW w:w="3130" w:type="dxa"/>
            <w:vAlign w:val="center"/>
          </w:tcPr>
          <w:p>
            <w:pPr>
              <w:keepNext w:val="0"/>
              <w:keepLines w:val="0"/>
              <w:widowControl w:val="0"/>
              <w:suppressLineNumbers w:val="0"/>
              <w:spacing w:line="288" w:lineRule="auto"/>
              <w:ind w:firstLine="0" w:firstLineChars="0"/>
              <w:jc w:val="center"/>
              <w:textAlignment w:val="center"/>
              <w:rPr>
                <w:rFonts w:hint="eastAsia" w:ascii="Times New Roman" w:hAnsi="Times New Roman" w:eastAsia="宋体" w:cs="Times New Roman"/>
                <w:sz w:val="21"/>
                <w:szCs w:val="21"/>
                <w:highlight w:val="none"/>
                <w:vertAlign w:val="baseline"/>
              </w:rPr>
            </w:pPr>
            <w:r>
              <w:rPr>
                <w:rFonts w:hint="eastAsia" w:ascii="宋体" w:hAnsi="宋体" w:eastAsia="宋体" w:cs="宋体"/>
                <w:i w:val="0"/>
                <w:iCs w:val="0"/>
                <w:color w:val="000000"/>
                <w:kern w:val="0"/>
                <w:sz w:val="21"/>
                <w:szCs w:val="21"/>
                <w:u w:val="none"/>
                <w:lang w:val="en-US" w:eastAsia="zh-CN" w:bidi="ar"/>
              </w:rPr>
              <w:t>吕玲玲</w:t>
            </w:r>
            <w:r>
              <w:rPr>
                <w:rFonts w:hint="eastAsia" w:ascii="宋体" w:hAnsi="宋体" w:cs="宋体"/>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讲师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华南农业大学心理健康辅导中心专职心理咨询师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82" w:type="dxa"/>
            <w:vAlign w:val="center"/>
          </w:tcPr>
          <w:p>
            <w:pPr>
              <w:keepNext w:val="0"/>
              <w:keepLines w:val="0"/>
              <w:widowControl w:val="0"/>
              <w:suppressLineNumbers w:val="0"/>
              <w:spacing w:line="288" w:lineRule="auto"/>
              <w:ind w:firstLine="0" w:firstLineChars="0"/>
              <w:jc w:val="center"/>
              <w:textAlignment w:val="center"/>
              <w:rPr>
                <w:rFonts w:hint="default" w:ascii="Times New Roman" w:hAnsi="Times New Roman" w:eastAsia="宋体" w:cs="Times New Roman"/>
                <w:kern w:val="0"/>
                <w:sz w:val="21"/>
                <w:szCs w:val="24"/>
                <w:highlight w:val="none"/>
                <w:vertAlign w:val="baseline"/>
              </w:rPr>
            </w:pPr>
            <w:r>
              <w:rPr>
                <w:rFonts w:hint="eastAsia" w:ascii="Times New Roman" w:hAnsi="Times New Roman" w:cs="Times New Roman"/>
                <w:i w:val="0"/>
                <w:iCs w:val="0"/>
                <w:kern w:val="0"/>
                <w:sz w:val="21"/>
                <w:szCs w:val="24"/>
                <w:u w:val="none"/>
                <w:lang w:val="en-US" w:eastAsia="zh-CN" w:bidi="ar-SA"/>
              </w:rPr>
              <w:t>9</w:t>
            </w:r>
          </w:p>
        </w:tc>
        <w:tc>
          <w:tcPr>
            <w:tcW w:w="4503" w:type="dxa"/>
            <w:vAlign w:val="center"/>
          </w:tcPr>
          <w:p>
            <w:pPr>
              <w:keepNext w:val="0"/>
              <w:keepLines w:val="0"/>
              <w:widowControl w:val="0"/>
              <w:suppressLineNumbers w:val="0"/>
              <w:spacing w:line="288" w:lineRule="auto"/>
              <w:ind w:firstLine="0" w:firstLineChars="0"/>
              <w:jc w:val="center"/>
              <w:textAlignment w:val="center"/>
              <w:rPr>
                <w:rFonts w:hint="eastAsia" w:ascii="Times New Roman" w:hAnsi="Times New Roman" w:eastAsia="宋体" w:cs="Times New Roman"/>
                <w:sz w:val="21"/>
                <w:szCs w:val="21"/>
                <w:highlight w:val="none"/>
                <w:vertAlign w:val="baseline"/>
              </w:rPr>
            </w:pPr>
            <w:r>
              <w:rPr>
                <w:rFonts w:hint="eastAsia" w:ascii="宋体" w:hAnsi="宋体" w:eastAsia="宋体" w:cs="宋体"/>
                <w:i w:val="0"/>
                <w:iCs w:val="0"/>
                <w:color w:val="000000"/>
                <w:kern w:val="0"/>
                <w:sz w:val="21"/>
                <w:szCs w:val="21"/>
                <w:u w:val="none"/>
                <w:lang w:val="en-US" w:eastAsia="zh-CN" w:bidi="ar"/>
              </w:rPr>
              <w:t>“大思政”专题讲座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——“学习贯彻习近平法治思想”</w:t>
            </w:r>
          </w:p>
        </w:tc>
        <w:tc>
          <w:tcPr>
            <w:tcW w:w="3130" w:type="dxa"/>
            <w:vAlign w:val="center"/>
          </w:tcPr>
          <w:p>
            <w:pPr>
              <w:keepNext w:val="0"/>
              <w:keepLines w:val="0"/>
              <w:widowControl w:val="0"/>
              <w:suppressLineNumbers w:val="0"/>
              <w:spacing w:line="288" w:lineRule="auto"/>
              <w:ind w:firstLine="0" w:firstLineChars="0"/>
              <w:jc w:val="center"/>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张庆元</w:t>
            </w:r>
          </w:p>
          <w:p>
            <w:pPr>
              <w:pStyle w:val="2"/>
              <w:ind w:left="0" w:leftChars="0" w:firstLine="0" w:firstLineChars="0"/>
              <w:jc w:val="center"/>
              <w:rPr>
                <w:rFonts w:hint="eastAsia"/>
              </w:rPr>
            </w:pPr>
            <w:r>
              <w:rPr>
                <w:rFonts w:hint="eastAsia" w:ascii="宋体" w:hAnsi="宋体" w:cs="宋体"/>
                <w:i w:val="0"/>
                <w:iCs w:val="0"/>
                <w:color w:val="000000"/>
                <w:kern w:val="0"/>
                <w:sz w:val="21"/>
                <w:szCs w:val="21"/>
                <w:u w:val="none"/>
                <w:lang w:val="en-US" w:eastAsia="zh-CN" w:bidi="ar"/>
              </w:rPr>
              <w:t>广东省社会科学院法学研究所研究员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82" w:type="dxa"/>
            <w:vAlign w:val="center"/>
          </w:tcPr>
          <w:p>
            <w:pPr>
              <w:keepNext w:val="0"/>
              <w:keepLines w:val="0"/>
              <w:widowControl w:val="0"/>
              <w:suppressLineNumbers w:val="0"/>
              <w:spacing w:line="288" w:lineRule="auto"/>
              <w:ind w:firstLine="0" w:firstLineChars="0"/>
              <w:jc w:val="center"/>
              <w:textAlignment w:val="center"/>
              <w:rPr>
                <w:rFonts w:hint="default" w:ascii="Times New Roman" w:hAnsi="Times New Roman" w:eastAsia="宋体" w:cs="Times New Roman"/>
                <w:kern w:val="0"/>
                <w:sz w:val="21"/>
                <w:szCs w:val="24"/>
                <w:highlight w:val="none"/>
                <w:vertAlign w:val="baseline"/>
              </w:rPr>
            </w:pPr>
            <w:r>
              <w:rPr>
                <w:rFonts w:hint="default" w:ascii="Times New Roman" w:hAnsi="Times New Roman" w:eastAsia="宋体" w:cs="Times New Roman"/>
                <w:i w:val="0"/>
                <w:iCs w:val="0"/>
                <w:color w:val="auto"/>
                <w:kern w:val="0"/>
                <w:sz w:val="21"/>
                <w:szCs w:val="24"/>
                <w:u w:val="none"/>
                <w:lang w:val="en-US" w:eastAsia="zh-CN" w:bidi="ar-SA"/>
              </w:rPr>
              <w:t>1</w:t>
            </w:r>
            <w:r>
              <w:rPr>
                <w:rFonts w:hint="eastAsia" w:ascii="Times New Roman" w:hAnsi="Times New Roman" w:cs="Times New Roman"/>
                <w:i w:val="0"/>
                <w:iCs w:val="0"/>
                <w:kern w:val="0"/>
                <w:sz w:val="21"/>
                <w:szCs w:val="24"/>
                <w:u w:val="none"/>
                <w:lang w:val="en-US" w:eastAsia="zh-CN" w:bidi="ar-SA"/>
              </w:rPr>
              <w:t>0</w:t>
            </w:r>
          </w:p>
        </w:tc>
        <w:tc>
          <w:tcPr>
            <w:tcW w:w="4503" w:type="dxa"/>
            <w:vAlign w:val="center"/>
          </w:tcPr>
          <w:p>
            <w:pPr>
              <w:keepNext w:val="0"/>
              <w:keepLines w:val="0"/>
              <w:widowControl w:val="0"/>
              <w:suppressLineNumbers w:val="0"/>
              <w:spacing w:line="288" w:lineRule="auto"/>
              <w:ind w:firstLine="0" w:firstLineChars="0"/>
              <w:jc w:val="center"/>
              <w:textAlignment w:val="center"/>
              <w:rPr>
                <w:rFonts w:hint="eastAsia" w:ascii="Times New Roman" w:hAnsi="Times New Roman" w:eastAsia="宋体" w:cs="Times New Roman"/>
                <w:sz w:val="21"/>
                <w:szCs w:val="21"/>
                <w:highlight w:val="none"/>
                <w:vertAlign w:val="baseline"/>
              </w:rPr>
            </w:pPr>
            <w:r>
              <w:rPr>
                <w:rFonts w:hint="eastAsia" w:ascii="宋体" w:hAnsi="宋体" w:eastAsia="宋体" w:cs="宋体"/>
                <w:i w:val="0"/>
                <w:iCs w:val="0"/>
                <w:color w:val="000000"/>
                <w:kern w:val="0"/>
                <w:sz w:val="21"/>
                <w:szCs w:val="21"/>
                <w:u w:val="none"/>
                <w:lang w:val="en-US" w:eastAsia="zh-CN" w:bidi="ar"/>
              </w:rPr>
              <w:t>“大思政”专题讲座——“有理想、敢担当、能吃苦、肯奋斗”奋力锤炼强国建设和民族复兴的真本领</w:t>
            </w:r>
          </w:p>
        </w:tc>
        <w:tc>
          <w:tcPr>
            <w:tcW w:w="3130" w:type="dxa"/>
            <w:vAlign w:val="center"/>
          </w:tcPr>
          <w:p>
            <w:pPr>
              <w:keepNext w:val="0"/>
              <w:keepLines w:val="0"/>
              <w:widowControl w:val="0"/>
              <w:suppressLineNumbers w:val="0"/>
              <w:spacing w:line="288" w:lineRule="auto"/>
              <w:ind w:firstLine="0" w:firstLineChars="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王廷惠</w:t>
            </w:r>
            <w:r>
              <w:rPr>
                <w:rFonts w:hint="eastAsia" w:ascii="宋体" w:hAnsi="宋体" w:cs="宋体"/>
                <w:i w:val="0"/>
                <w:iCs w:val="0"/>
                <w:color w:val="000000"/>
                <w:kern w:val="0"/>
                <w:sz w:val="21"/>
                <w:szCs w:val="21"/>
                <w:u w:val="none"/>
                <w:lang w:val="en-US" w:eastAsia="zh-CN" w:bidi="ar"/>
              </w:rPr>
              <w:t xml:space="preserve"> </w:t>
            </w:r>
          </w:p>
          <w:p>
            <w:pPr>
              <w:keepNext w:val="0"/>
              <w:keepLines w:val="0"/>
              <w:widowControl w:val="0"/>
              <w:suppressLineNumbers w:val="0"/>
              <w:spacing w:line="288" w:lineRule="auto"/>
              <w:ind w:firstLine="0" w:firstLineChars="0"/>
              <w:jc w:val="center"/>
              <w:textAlignment w:val="center"/>
              <w:rPr>
                <w:rFonts w:hint="eastAsia" w:ascii="Times New Roman" w:hAnsi="Times New Roman" w:eastAsia="宋体" w:cs="Times New Roman"/>
                <w:sz w:val="21"/>
                <w:szCs w:val="21"/>
                <w:highlight w:val="none"/>
                <w:vertAlign w:val="baseline"/>
              </w:rPr>
            </w:pPr>
            <w:r>
              <w:rPr>
                <w:rFonts w:hint="eastAsia" w:ascii="宋体" w:hAnsi="宋体" w:cs="宋体"/>
                <w:i w:val="0"/>
                <w:iCs w:val="0"/>
                <w:color w:val="000000"/>
                <w:kern w:val="0"/>
                <w:sz w:val="21"/>
                <w:szCs w:val="21"/>
                <w:u w:val="none"/>
                <w:lang w:val="en-US" w:eastAsia="zh-CN" w:bidi="ar"/>
              </w:rPr>
              <w:t>广东省社会科学院党组副书记、</w:t>
            </w:r>
            <w:r>
              <w:rPr>
                <w:rFonts w:hint="eastAsia" w:ascii="宋体" w:hAnsi="宋体" w:eastAsia="宋体" w:cs="宋体"/>
                <w:i w:val="0"/>
                <w:iCs w:val="0"/>
                <w:color w:val="000000"/>
                <w:kern w:val="0"/>
                <w:sz w:val="21"/>
                <w:szCs w:val="21"/>
                <w:u w:val="none"/>
                <w:lang w:val="en-US" w:eastAsia="zh-CN" w:bidi="ar"/>
              </w:rPr>
              <w:t>院长</w:t>
            </w:r>
            <w:r>
              <w:rPr>
                <w:rFonts w:hint="eastAsia" w:ascii="宋体" w:hAnsi="宋体" w:cs="宋体"/>
                <w:i w:val="0"/>
                <w:iCs w:val="0"/>
                <w:color w:val="000000"/>
                <w:kern w:val="0"/>
                <w:sz w:val="21"/>
                <w:szCs w:val="21"/>
                <w:u w:val="none"/>
                <w:lang w:val="en-US" w:eastAsia="zh-CN" w:bidi="ar"/>
              </w:rPr>
              <w:t>、教授</w:t>
            </w:r>
          </w:p>
        </w:tc>
      </w:tr>
    </w:tbl>
    <w:p>
      <w:pPr>
        <w:pStyle w:val="5"/>
        <w:keepNext w:val="0"/>
        <w:keepLines w:val="0"/>
        <w:widowControl w:val="0"/>
        <w:spacing w:before="219" w:beforeLines="70"/>
        <w:ind w:firstLine="560" w:firstLineChars="200"/>
        <w:rPr>
          <w:rFonts w:hint="eastAsia"/>
        </w:rPr>
      </w:pPr>
      <w:bookmarkStart w:id="73" w:name="_Toc3297"/>
      <w:r>
        <w:rPr>
          <w:rFonts w:hint="eastAsia"/>
        </w:rPr>
        <w:t>2.以党员</w:t>
      </w:r>
      <w:r>
        <w:rPr>
          <w:rFonts w:hint="eastAsia"/>
          <w:lang w:eastAsia="zh-CN"/>
        </w:rPr>
        <w:t>队伍</w:t>
      </w:r>
      <w:r>
        <w:rPr>
          <w:rFonts w:hint="eastAsia"/>
        </w:rPr>
        <w:t>建设为抓手稳固思想政治教育基础</w:t>
      </w:r>
      <w:bookmarkEnd w:id="73"/>
    </w:p>
    <w:p>
      <w:pPr>
        <w:ind w:firstLine="480"/>
        <w:rPr>
          <w:rFonts w:hint="eastAsia"/>
          <w:highlight w:val="yellow"/>
          <w:lang w:eastAsia="zh-CN"/>
        </w:rPr>
      </w:pPr>
      <w:r>
        <w:rPr>
          <w:rFonts w:hint="eastAsia"/>
        </w:rPr>
        <w:t>学生党支部建设是基层党建和学生思想政治工作的重点。202</w:t>
      </w:r>
      <w:r>
        <w:rPr>
          <w:rFonts w:hint="eastAsia"/>
          <w:lang w:val="en-US" w:eastAsia="zh-CN"/>
        </w:rPr>
        <w:t>3</w:t>
      </w:r>
      <w:r>
        <w:rPr>
          <w:rFonts w:hint="eastAsia"/>
        </w:rPr>
        <w:t>年，</w:t>
      </w:r>
      <w:r>
        <w:rPr>
          <w:rFonts w:hint="eastAsia" w:ascii="Times New Roman" w:hAnsi="Times New Roman" w:eastAsia="宋体" w:cs="Times New Roman"/>
        </w:rPr>
        <w:t>研究生党支部</w:t>
      </w:r>
      <w:r>
        <w:rPr>
          <w:rFonts w:hint="eastAsia" w:cs="Times New Roman"/>
          <w:lang w:val="en-US" w:eastAsia="zh-CN"/>
        </w:rPr>
        <w:t>持续</w:t>
      </w:r>
      <w:r>
        <w:rPr>
          <w:rFonts w:hint="eastAsia" w:ascii="Times New Roman" w:hAnsi="Times New Roman" w:eastAsia="宋体" w:cs="Times New Roman"/>
        </w:rPr>
        <w:t>推进支部建设标准化</w:t>
      </w:r>
      <w:r>
        <w:rPr>
          <w:rFonts w:hint="eastAsia" w:cs="Times New Roman"/>
          <w:lang w:eastAsia="zh-CN"/>
        </w:rPr>
        <w:t>、</w:t>
      </w:r>
      <w:r>
        <w:rPr>
          <w:rFonts w:hint="eastAsia" w:ascii="Times New Roman" w:hAnsi="Times New Roman" w:eastAsia="宋体" w:cs="Times New Roman"/>
        </w:rPr>
        <w:t>规范化，提升基层组织政治领导力、思想引领力</w:t>
      </w:r>
      <w:r>
        <w:rPr>
          <w:rFonts w:hint="eastAsia" w:eastAsia="宋体" w:cs="Times New Roman"/>
          <w:lang w:val="en-US" w:eastAsia="zh-Hans"/>
        </w:rPr>
        <w:t>和</w:t>
      </w:r>
      <w:r>
        <w:rPr>
          <w:rFonts w:hint="eastAsia" w:ascii="Times New Roman" w:hAnsi="Times New Roman" w:eastAsia="宋体" w:cs="Times New Roman"/>
        </w:rPr>
        <w:t>号召力。全面落实“三会一课”、组织生活会、谈心谈话、思想汇报等基本制度，</w:t>
      </w:r>
      <w:r>
        <w:rPr>
          <w:rFonts w:hint="eastAsia" w:cs="Times New Roman"/>
          <w:lang w:val="en-US" w:eastAsia="zh-Hans"/>
        </w:rPr>
        <w:t>促进“三会一课”与思想引领、专业学习、科研实践、创业就业、心理健康“</w:t>
      </w:r>
      <w:r>
        <w:rPr>
          <w:rFonts w:hint="default" w:cs="Times New Roman"/>
          <w:lang w:eastAsia="zh-Hans"/>
        </w:rPr>
        <w:t>5</w:t>
      </w:r>
      <w:r>
        <w:rPr>
          <w:rFonts w:hint="eastAsia" w:cs="Times New Roman"/>
          <w:lang w:val="en-US" w:eastAsia="zh-Hans"/>
        </w:rPr>
        <w:t>结合”</w:t>
      </w:r>
      <w:r>
        <w:rPr>
          <w:rFonts w:hint="default" w:cs="Times New Roman"/>
          <w:lang w:eastAsia="zh-Hans"/>
        </w:rPr>
        <w:t>，</w:t>
      </w:r>
      <w:r>
        <w:rPr>
          <w:rFonts w:hint="eastAsia" w:cs="Times New Roman"/>
          <w:lang w:val="en-US" w:eastAsia="zh-CN"/>
        </w:rPr>
        <w:t>全面推进学生</w:t>
      </w:r>
      <w:r>
        <w:rPr>
          <w:rFonts w:hint="eastAsia" w:ascii="Times New Roman" w:hAnsi="Times New Roman" w:eastAsia="宋体" w:cs="Times New Roman"/>
        </w:rPr>
        <w:t>党员思想政治教育与意识形态教育工作</w:t>
      </w:r>
      <w:r>
        <w:rPr>
          <w:rFonts w:hint="eastAsia" w:cs="Times New Roman"/>
          <w:lang w:eastAsia="zh-CN"/>
        </w:rPr>
        <w:t>。</w:t>
      </w:r>
      <w:r>
        <w:rPr>
          <w:rFonts w:hint="eastAsia" w:ascii="Times New Roman" w:hAnsi="Times New Roman" w:eastAsia="宋体" w:cs="Times New Roman"/>
        </w:rPr>
        <w:t>2023年支部共</w:t>
      </w:r>
      <w:r>
        <w:rPr>
          <w:rFonts w:hint="eastAsia" w:cs="Times New Roman"/>
          <w:lang w:val="en-US" w:eastAsia="zh-CN"/>
        </w:rPr>
        <w:t>开</w:t>
      </w:r>
      <w:r>
        <w:rPr>
          <w:rFonts w:hint="eastAsia" w:cs="Times New Roman"/>
          <w:highlight w:val="none"/>
          <w:lang w:val="en-US" w:eastAsia="zh-CN"/>
        </w:rPr>
        <w:t>展</w:t>
      </w:r>
      <w:r>
        <w:rPr>
          <w:rFonts w:hint="eastAsia" w:ascii="Times New Roman" w:hAnsi="Times New Roman" w:eastAsia="宋体" w:cs="Times New Roman"/>
          <w:highlight w:val="none"/>
        </w:rPr>
        <w:t>召开支委会18次，支部党员大会5次，主题党日活动15次，支部书记讲党课4次，</w:t>
      </w:r>
      <w:r>
        <w:rPr>
          <w:rFonts w:hint="eastAsia" w:ascii="Times New Roman" w:hAnsi="Times New Roman" w:eastAsia="宋体" w:cs="Times New Roman"/>
        </w:rPr>
        <w:t>谈心谈话9次，支部组织生活会和民主评议党员2次（老师党小组和学生党小组各1次），党员群众意见调查8次</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并</w:t>
      </w:r>
      <w:r>
        <w:rPr>
          <w:rFonts w:hint="eastAsia"/>
        </w:rPr>
        <w:t>围绕</w:t>
      </w:r>
      <w:r>
        <w:rPr>
          <w:rFonts w:hint="eastAsia"/>
          <w:lang w:val="en-US" w:eastAsia="zh-CN"/>
        </w:rPr>
        <w:t>主题教育学习</w:t>
      </w:r>
      <w:r>
        <w:rPr>
          <w:rFonts w:hint="eastAsia"/>
        </w:rPr>
        <w:t>等开展主题党日</w:t>
      </w:r>
      <w:r>
        <w:rPr>
          <w:rFonts w:hint="eastAsia"/>
          <w:lang w:eastAsia="zh-CN"/>
        </w:rPr>
        <w:t>活动</w:t>
      </w:r>
      <w:r>
        <w:rPr>
          <w:rFonts w:hint="eastAsia"/>
        </w:rPr>
        <w:t>，</w:t>
      </w:r>
      <w:r>
        <w:rPr>
          <w:rFonts w:hint="eastAsia"/>
          <w:lang w:val="en-US" w:eastAsia="zh-CN"/>
        </w:rPr>
        <w:t>推动</w:t>
      </w:r>
      <w:r>
        <w:rPr>
          <w:rFonts w:hint="eastAsia"/>
        </w:rPr>
        <w:t>学生党员党性修养</w:t>
      </w:r>
      <w:r>
        <w:rPr>
          <w:rFonts w:hint="eastAsia"/>
          <w:lang w:val="en-US" w:eastAsia="zh-CN"/>
        </w:rPr>
        <w:t>及</w:t>
      </w:r>
      <w:r>
        <w:rPr>
          <w:rFonts w:hint="eastAsia"/>
        </w:rPr>
        <w:t>自身政治理论水平持续提升。</w:t>
      </w:r>
    </w:p>
    <w:p>
      <w:pPr>
        <w:ind w:firstLine="480"/>
        <w:rPr>
          <w:rFonts w:hint="eastAsia"/>
          <w:highlight w:val="yellow"/>
        </w:rPr>
      </w:pPr>
      <w:r>
        <w:rPr>
          <w:rFonts w:hint="eastAsia"/>
          <w:color w:val="000000"/>
          <w:lang w:val="en-US" w:eastAsia="zh-CN"/>
        </w:rPr>
        <w:t>同时，</w:t>
      </w:r>
      <w:r>
        <w:rPr>
          <w:rFonts w:hint="eastAsia"/>
          <w:color w:val="000000"/>
        </w:rPr>
        <w:t>研究生部党支部</w:t>
      </w:r>
      <w:r>
        <w:rPr>
          <w:rFonts w:hint="eastAsia" w:ascii="Times New Roman" w:hAnsi="Times New Roman" w:eastAsia="宋体" w:cs="Times New Roman"/>
        </w:rPr>
        <w:t>不断吸收学生骨干和品学兼优的优秀青年团员加入支部队伍，高标准严要求地开展学生党员发展工作，</w:t>
      </w:r>
      <w:r>
        <w:rPr>
          <w:rFonts w:hint="eastAsia" w:ascii="Times New Roman" w:hAnsi="Times New Roman" w:cs="Times New Roman"/>
          <w:lang w:val="en-US" w:eastAsia="zh-CN"/>
        </w:rPr>
        <w:t>持续</w:t>
      </w:r>
      <w:r>
        <w:rPr>
          <w:rFonts w:hint="eastAsia" w:ascii="Times New Roman" w:hAnsi="Times New Roman" w:eastAsia="宋体" w:cs="Times New Roman"/>
        </w:rPr>
        <w:t>增强党员队伍的生机和活力。</w:t>
      </w:r>
      <w:r>
        <w:rPr>
          <w:rFonts w:hint="eastAsia"/>
        </w:rPr>
        <w:t>党员队伍发展严格遵循《中国共产党发展党员工作细则》中“控制总量、优化结构、提高质量、发挥作用”的总要求，坚持严把培训关、考察关、发展关和转正关。经过严格考核，</w:t>
      </w:r>
      <w:r>
        <w:rPr>
          <w:rFonts w:hint="eastAsia"/>
          <w:highlight w:val="none"/>
          <w:lang w:val="en-US" w:eastAsia="zh-CN"/>
        </w:rPr>
        <w:t>2023年，</w:t>
      </w:r>
      <w:r>
        <w:rPr>
          <w:rFonts w:hint="eastAsia"/>
          <w:highlight w:val="none"/>
        </w:rPr>
        <w:t>研究生部党支部培养吸收预备党员5</w:t>
      </w:r>
      <w:r>
        <w:rPr>
          <w:rFonts w:hint="eastAsia"/>
          <w:highlight w:val="none"/>
          <w:lang w:val="en-US" w:eastAsia="zh-CN"/>
        </w:rPr>
        <w:t>名</w:t>
      </w:r>
      <w:r>
        <w:rPr>
          <w:rFonts w:hint="eastAsia"/>
          <w:highlight w:val="none"/>
        </w:rPr>
        <w:t>，积极分子10名，新增入</w:t>
      </w:r>
      <w:r>
        <w:rPr>
          <w:rFonts w:hint="eastAsia"/>
          <w:highlight w:val="none"/>
          <w:lang w:val="en-US" w:eastAsia="zh-CN"/>
        </w:rPr>
        <w:t>党</w:t>
      </w:r>
      <w:r>
        <w:rPr>
          <w:rFonts w:hint="eastAsia"/>
          <w:highlight w:val="none"/>
        </w:rPr>
        <w:t>申请人9名，新增转入发展对象2名。截至202</w:t>
      </w:r>
      <w:r>
        <w:rPr>
          <w:rFonts w:hint="eastAsia"/>
          <w:highlight w:val="none"/>
          <w:lang w:eastAsia="zh-CN"/>
        </w:rPr>
        <w:t>3</w:t>
      </w:r>
      <w:r>
        <w:rPr>
          <w:rFonts w:hint="eastAsia"/>
          <w:highlight w:val="none"/>
        </w:rPr>
        <w:t>年底，研究生部党支部共有正式党员</w:t>
      </w:r>
      <w:r>
        <w:rPr>
          <w:rFonts w:hint="eastAsia"/>
          <w:highlight w:val="none"/>
          <w:lang w:eastAsia="zh-CN"/>
        </w:rPr>
        <w:t>2</w:t>
      </w:r>
      <w:r>
        <w:rPr>
          <w:rFonts w:hint="eastAsia"/>
          <w:highlight w:val="none"/>
          <w:lang w:val="en-US" w:eastAsia="zh-CN"/>
        </w:rPr>
        <w:t>0</w:t>
      </w:r>
      <w:r>
        <w:rPr>
          <w:rFonts w:hint="eastAsia"/>
          <w:highlight w:val="none"/>
        </w:rPr>
        <w:t>名，其中包括：老师党小组党员</w:t>
      </w:r>
      <w:r>
        <w:rPr>
          <w:rFonts w:hint="eastAsia"/>
          <w:highlight w:val="none"/>
          <w:lang w:eastAsia="zh-CN"/>
        </w:rPr>
        <w:t>6</w:t>
      </w:r>
      <w:r>
        <w:rPr>
          <w:rFonts w:hint="eastAsia"/>
          <w:highlight w:val="none"/>
        </w:rPr>
        <w:t>名，学生党小组在校党员1</w:t>
      </w:r>
      <w:r>
        <w:rPr>
          <w:rFonts w:hint="eastAsia"/>
          <w:highlight w:val="none"/>
          <w:lang w:eastAsia="zh-CN"/>
        </w:rPr>
        <w:t>4</w:t>
      </w:r>
      <w:r>
        <w:rPr>
          <w:rFonts w:hint="eastAsia"/>
          <w:highlight w:val="none"/>
        </w:rPr>
        <w:t>名。学生党小组在校党员中，202</w:t>
      </w:r>
      <w:r>
        <w:rPr>
          <w:rFonts w:hint="eastAsia"/>
          <w:highlight w:val="none"/>
          <w:lang w:eastAsia="zh-CN"/>
        </w:rPr>
        <w:t>3</w:t>
      </w:r>
      <w:r>
        <w:rPr>
          <w:rFonts w:hint="eastAsia"/>
          <w:highlight w:val="none"/>
        </w:rPr>
        <w:t>级</w:t>
      </w:r>
      <w:r>
        <w:rPr>
          <w:rFonts w:hint="eastAsia"/>
          <w:highlight w:val="none"/>
          <w:lang w:eastAsia="zh-CN"/>
        </w:rPr>
        <w:t>4</w:t>
      </w:r>
      <w:r>
        <w:rPr>
          <w:rFonts w:hint="eastAsia"/>
          <w:highlight w:val="none"/>
        </w:rPr>
        <w:t>名，202</w:t>
      </w:r>
      <w:r>
        <w:rPr>
          <w:rFonts w:hint="eastAsia"/>
          <w:highlight w:val="none"/>
          <w:lang w:eastAsia="zh-CN"/>
        </w:rPr>
        <w:t>2</w:t>
      </w:r>
      <w:r>
        <w:rPr>
          <w:rFonts w:hint="eastAsia"/>
          <w:highlight w:val="none"/>
        </w:rPr>
        <w:t>级</w:t>
      </w:r>
      <w:r>
        <w:rPr>
          <w:rFonts w:hint="eastAsia"/>
          <w:highlight w:val="none"/>
          <w:lang w:eastAsia="zh-CN"/>
        </w:rPr>
        <w:t>6</w:t>
      </w:r>
      <w:r>
        <w:rPr>
          <w:rFonts w:hint="eastAsia"/>
          <w:highlight w:val="none"/>
        </w:rPr>
        <w:t>名，202</w:t>
      </w:r>
      <w:r>
        <w:rPr>
          <w:rFonts w:hint="eastAsia"/>
          <w:highlight w:val="none"/>
          <w:lang w:eastAsia="zh-CN"/>
        </w:rPr>
        <w:t>1</w:t>
      </w:r>
      <w:r>
        <w:rPr>
          <w:rFonts w:hint="eastAsia"/>
          <w:highlight w:val="none"/>
        </w:rPr>
        <w:t>级</w:t>
      </w:r>
      <w:r>
        <w:rPr>
          <w:rFonts w:hint="eastAsia"/>
          <w:highlight w:val="none"/>
          <w:lang w:eastAsia="zh-CN"/>
        </w:rPr>
        <w:t>4</w:t>
      </w:r>
      <w:r>
        <w:rPr>
          <w:rFonts w:hint="eastAsia"/>
          <w:highlight w:val="none"/>
        </w:rPr>
        <w:t>名。</w:t>
      </w:r>
    </w:p>
    <w:p>
      <w:pPr>
        <w:pStyle w:val="4"/>
        <w:keepNext w:val="0"/>
        <w:keepLines w:val="0"/>
        <w:widowControl w:val="0"/>
        <w:ind w:firstLine="602" w:firstLineChars="200"/>
        <w:rPr>
          <w:rFonts w:hint="eastAsia"/>
        </w:rPr>
      </w:pPr>
      <w:bookmarkStart w:id="74" w:name="_Toc25335"/>
      <w:bookmarkStart w:id="75" w:name="_Toc67497678"/>
      <w:bookmarkStart w:id="76" w:name="_Toc67260861"/>
      <w:bookmarkStart w:id="77" w:name="_Toc5262"/>
      <w:bookmarkStart w:id="78" w:name="_Toc67497715"/>
      <w:bookmarkStart w:id="79" w:name="_Toc7547"/>
      <w:bookmarkStart w:id="80" w:name="_Toc127791868"/>
      <w:bookmarkStart w:id="81" w:name="_Toc2958"/>
      <w:bookmarkStart w:id="82" w:name="_Toc23502"/>
      <w:r>
        <w:rPr>
          <w:rFonts w:hint="eastAsia"/>
        </w:rPr>
        <w:t>（二）科学道德和学风建设</w:t>
      </w:r>
      <w:bookmarkEnd w:id="74"/>
      <w:bookmarkEnd w:id="75"/>
      <w:bookmarkEnd w:id="76"/>
      <w:bookmarkEnd w:id="77"/>
      <w:bookmarkEnd w:id="78"/>
      <w:bookmarkEnd w:id="79"/>
      <w:bookmarkEnd w:id="80"/>
      <w:bookmarkEnd w:id="81"/>
      <w:bookmarkEnd w:id="82"/>
    </w:p>
    <w:p>
      <w:pPr>
        <w:ind w:firstLine="480"/>
        <w:rPr>
          <w:rFonts w:hint="eastAsia"/>
        </w:rPr>
      </w:pPr>
      <w:r>
        <w:rPr>
          <w:rFonts w:hint="eastAsia"/>
        </w:rPr>
        <w:t>202</w:t>
      </w:r>
      <w:r>
        <w:rPr>
          <w:rFonts w:hint="eastAsia"/>
          <w:lang w:val="en-US" w:eastAsia="zh-CN"/>
        </w:rPr>
        <w:t>3</w:t>
      </w:r>
      <w:r>
        <w:rPr>
          <w:rFonts w:hint="eastAsia"/>
        </w:rPr>
        <w:t>年，为全面落实习近平总书记关于弘扬科学家精神和加强作风学风建设工作重要指示精神，我院按照《2023年全国科学道德和学风建设宣讲教育工作要点》要求，持续践行科学道德和学风建设“两融入”，积极营造良好科研生态和学术环境氛围。</w:t>
      </w:r>
    </w:p>
    <w:p>
      <w:pPr>
        <w:pStyle w:val="5"/>
        <w:keepNext w:val="0"/>
        <w:keepLines w:val="0"/>
        <w:widowControl w:val="0"/>
        <w:ind w:firstLine="560" w:firstLineChars="200"/>
        <w:rPr>
          <w:rFonts w:hint="eastAsia"/>
        </w:rPr>
      </w:pPr>
      <w:bookmarkStart w:id="83" w:name="_Toc109"/>
      <w:r>
        <w:rPr>
          <w:rFonts w:hint="eastAsia"/>
        </w:rPr>
        <w:t>1.将科学道德和学风建设理念融入日常教育</w:t>
      </w:r>
      <w:bookmarkEnd w:id="83"/>
    </w:p>
    <w:p>
      <w:pPr>
        <w:ind w:firstLine="480"/>
        <w:rPr>
          <w:rFonts w:hint="eastAsia"/>
        </w:rPr>
      </w:pPr>
      <w:r>
        <w:rPr>
          <w:rFonts w:hint="eastAsia"/>
        </w:rPr>
        <w:t>我院将科学道德和学风建设纳入研究生培养体系，通过落实对导师和研究生的学术规范和学术道德要求，树立严谨的学术态度和优良的学术风气。</w:t>
      </w:r>
      <w:r>
        <w:rPr>
          <w:rFonts w:hint="eastAsia"/>
          <w:lang w:val="en-US" w:eastAsia="zh-CN"/>
        </w:rPr>
        <w:t>一是通过专业必修课狠抓学术道德规范。开设论文写作指导必修课，通过对论文的学术道德要求、写作规范、技巧、方法的详细讲解，帮助学生掌握学术论文写作要领、构建学术自我认同、坚守学术道德底线。二是充分发挥导师作为研究生学术道德规范教育与管理的第一责任人作用</w:t>
      </w:r>
      <w:r>
        <w:rPr>
          <w:rFonts w:hint="eastAsia"/>
          <w:lang w:eastAsia="zh-CN"/>
        </w:rPr>
        <w:t>。</w:t>
      </w:r>
      <w:r>
        <w:rPr>
          <w:rFonts w:hint="eastAsia"/>
        </w:rPr>
        <w:t>鼓励导师在日常教育中言传身教提升学生学术道德素养，指导研究生恪守学术道德规范，培养研究生严谨认真的治学态度和求真务实的科学精神。</w:t>
      </w:r>
      <w:r>
        <w:rPr>
          <w:rFonts w:hint="eastAsia"/>
          <w:lang w:val="en-US" w:eastAsia="zh-CN"/>
        </w:rPr>
        <w:t>三是强化培养全过程教育。</w:t>
      </w:r>
      <w:r>
        <w:rPr>
          <w:rFonts w:hint="eastAsia"/>
        </w:rPr>
        <w:t>在研究生培养的各个环节，强化学术规范训练，加强职业伦理教育，提升学术道德涵养</w:t>
      </w:r>
      <w:r>
        <w:rPr>
          <w:rFonts w:hint="eastAsia"/>
          <w:lang w:eastAsia="zh-CN"/>
        </w:rPr>
        <w:t>，</w:t>
      </w:r>
      <w:r>
        <w:rPr>
          <w:rFonts w:hint="eastAsia"/>
        </w:rPr>
        <w:t>实现全过程育人。要求研究生自觉遵守科研诚信与学术道德，自觉维护学术事业的神圣性、纯洁性和严肃性，杜绝学术不端行为。</w:t>
      </w:r>
    </w:p>
    <w:p>
      <w:pPr>
        <w:pStyle w:val="5"/>
        <w:keepNext w:val="0"/>
        <w:keepLines w:val="0"/>
        <w:widowControl w:val="0"/>
        <w:ind w:firstLine="560" w:firstLineChars="200"/>
        <w:rPr>
          <w:rFonts w:hint="eastAsia"/>
          <w:highlight w:val="none"/>
        </w:rPr>
      </w:pPr>
      <w:bookmarkStart w:id="84" w:name="_Toc8937"/>
      <w:r>
        <w:rPr>
          <w:rFonts w:hint="eastAsia"/>
          <w:highlight w:val="none"/>
        </w:rPr>
        <w:t>2.将科学道德和学风建设教育融入各类活动</w:t>
      </w:r>
      <w:bookmarkEnd w:id="84"/>
    </w:p>
    <w:p>
      <w:pPr>
        <w:ind w:firstLine="480"/>
        <w:rPr>
          <w:rFonts w:hint="eastAsia"/>
        </w:rPr>
      </w:pPr>
      <w:r>
        <w:rPr>
          <w:rFonts w:hint="eastAsia"/>
        </w:rPr>
        <w:t>以大型活动</w:t>
      </w:r>
      <w:r>
        <w:rPr>
          <w:rFonts w:hint="eastAsia"/>
          <w:lang w:eastAsia="zh-CN"/>
        </w:rPr>
        <w:t>和重要时间节点</w:t>
      </w:r>
      <w:r>
        <w:rPr>
          <w:rFonts w:hint="eastAsia"/>
        </w:rPr>
        <w:t>为契机，深度开展科学道德和学风建设教育。一是</w:t>
      </w:r>
      <w:r>
        <w:rPr>
          <w:rFonts w:hint="eastAsia"/>
          <w:lang w:val="en-US" w:eastAsia="zh-CN"/>
        </w:rPr>
        <w:t>以学术</w:t>
      </w:r>
      <w:r>
        <w:rPr>
          <w:rFonts w:hint="eastAsia"/>
        </w:rPr>
        <w:t>活动为契机，加强科学道德和学风建设教育。发挥学科优势，整合学术资源，赓续我</w:t>
      </w:r>
      <w:r>
        <w:rPr>
          <w:rFonts w:hint="eastAsia"/>
          <w:lang w:val="en-US" w:eastAsia="zh-CN"/>
        </w:rPr>
        <w:t>院</w:t>
      </w:r>
      <w:r>
        <w:rPr>
          <w:rFonts w:hint="eastAsia"/>
        </w:rPr>
        <w:t>“学海大讲堂”学术前沿交流机制，</w:t>
      </w:r>
      <w:r>
        <w:rPr>
          <w:rFonts w:hint="eastAsia"/>
          <w:lang w:val="en-US" w:eastAsia="zh-CN"/>
        </w:rPr>
        <w:t>2023年，</w:t>
      </w:r>
      <w:r>
        <w:rPr>
          <w:rFonts w:hint="eastAsia"/>
        </w:rPr>
        <w:t>邀请学术名家主讲“厚德”、“博学”、“经世”、“笃行”讲座共24场，“砥砺学问、作育人才”，传承发扬优良学风，进一步夯实学生的科学道德和学风建设思想根基，提高学术素养。二是抓住新生开学典礼契机，将新生作为重点教育对象，开展科学道德和学风建设教育。例如，制定研究生新生入学教育方案、进行科学道德和学风建设宣讲动员等，帮助研究生新生尽早进入科研状态。三是抓住毕业典礼</w:t>
      </w:r>
      <w:r>
        <w:rPr>
          <w:rFonts w:hint="eastAsia"/>
          <w:lang w:eastAsia="zh-CN"/>
        </w:rPr>
        <w:t>契机</w:t>
      </w:r>
      <w:r>
        <w:rPr>
          <w:rFonts w:hint="eastAsia"/>
        </w:rPr>
        <w:t>，以传帮带方式，加强科学道德和学风建设教育。以在校和毕业班研究生为对象，开展学术讲座和毕业班学生讲故事方式，详细阐述研究生学术论文、学位论文撰写过程中各个环节需要注意的问题，强调遵守学术道德与诚信培养的重要性。经过严格把关，我院研究生未出现学术不端行为。</w:t>
      </w:r>
    </w:p>
    <w:p>
      <w:pPr>
        <w:pStyle w:val="4"/>
        <w:keepNext w:val="0"/>
        <w:keepLines w:val="0"/>
        <w:widowControl w:val="0"/>
        <w:ind w:firstLine="602" w:firstLineChars="200"/>
        <w:rPr>
          <w:rFonts w:hint="eastAsia"/>
          <w:highlight w:val="none"/>
        </w:rPr>
      </w:pPr>
      <w:bookmarkStart w:id="85" w:name="_Toc159"/>
      <w:bookmarkStart w:id="86" w:name="_Toc27957"/>
      <w:bookmarkStart w:id="87" w:name="_Toc12739"/>
      <w:bookmarkStart w:id="88" w:name="_Toc20496"/>
      <w:bookmarkStart w:id="89" w:name="_Toc127791869"/>
      <w:r>
        <w:rPr>
          <w:rFonts w:hint="eastAsia"/>
          <w:highlight w:val="none"/>
        </w:rPr>
        <w:t>（三）校园文化建设</w:t>
      </w:r>
      <w:bookmarkEnd w:id="85"/>
      <w:bookmarkEnd w:id="86"/>
      <w:bookmarkEnd w:id="87"/>
      <w:bookmarkEnd w:id="88"/>
      <w:bookmarkEnd w:id="89"/>
    </w:p>
    <w:p>
      <w:pPr>
        <w:pStyle w:val="5"/>
        <w:keepNext w:val="0"/>
        <w:keepLines w:val="0"/>
        <w:widowControl w:val="0"/>
        <w:ind w:firstLine="560" w:firstLineChars="200"/>
        <w:rPr>
          <w:rFonts w:hint="eastAsia"/>
        </w:rPr>
      </w:pPr>
      <w:r>
        <w:rPr>
          <w:rFonts w:hint="eastAsia"/>
        </w:rPr>
        <w:t>1.以党建为引领加强校园文化建设</w:t>
      </w:r>
    </w:p>
    <w:p>
      <w:pPr>
        <w:ind w:firstLine="480"/>
        <w:rPr>
          <w:rFonts w:hint="eastAsia"/>
        </w:rPr>
      </w:pPr>
      <w:r>
        <w:rPr>
          <w:rFonts w:hint="eastAsia"/>
        </w:rPr>
        <w:t>我</w:t>
      </w:r>
      <w:r>
        <w:rPr>
          <w:rFonts w:hint="eastAsia"/>
          <w:lang w:val="en-US" w:eastAsia="zh-CN"/>
        </w:rPr>
        <w:t>院</w:t>
      </w:r>
      <w:r>
        <w:rPr>
          <w:rFonts w:hint="eastAsia"/>
        </w:rPr>
        <w:t>校园文化工作始终坚持以习近平新时代中国特色社会主义思想为指导，围绕中心、服务大局，着眼繁荣发展社会主义先进文化，扎实开展精神文明建设工作，积极培育和践行社会主义核心价值观，以挖掘文化内涵为重点，促进文化建设与办学活动深度融合，强化文化育人整体功能，营造凝心聚力的和谐氛围，以“党建+校园文化”为</w:t>
      </w:r>
      <w:r>
        <w:rPr>
          <w:rFonts w:hint="eastAsia"/>
          <w:lang w:val="en-US" w:eastAsia="zh-CN"/>
        </w:rPr>
        <w:t>核心</w:t>
      </w:r>
      <w:r>
        <w:rPr>
          <w:rFonts w:hint="eastAsia"/>
        </w:rPr>
        <w:t>构筑校园文化格局。202</w:t>
      </w:r>
      <w:r>
        <w:rPr>
          <w:rFonts w:hint="eastAsia"/>
          <w:lang w:val="en-US" w:eastAsia="zh-CN"/>
        </w:rPr>
        <w:t>3</w:t>
      </w:r>
      <w:r>
        <w:rPr>
          <w:rFonts w:hint="eastAsia"/>
        </w:rPr>
        <w:t>年，我院注重发挥党建引领在校园文化建设中的作用，通过组织各类党建教育活动，增强爱国主义</w:t>
      </w:r>
      <w:r>
        <w:rPr>
          <w:rFonts w:hint="eastAsia"/>
          <w:lang w:val="en-US" w:eastAsia="zh-CN"/>
        </w:rPr>
        <w:t>教育</w:t>
      </w:r>
      <w:r>
        <w:rPr>
          <w:rFonts w:hint="eastAsia"/>
        </w:rPr>
        <w:t>，充分调动研究生自我教育、自我管理的</w:t>
      </w:r>
      <w:r>
        <w:rPr>
          <w:rFonts w:hint="eastAsia"/>
          <w:lang w:val="en-US" w:eastAsia="zh-CN"/>
        </w:rPr>
        <w:t>主观</w:t>
      </w:r>
      <w:r>
        <w:rPr>
          <w:rFonts w:hint="eastAsia"/>
        </w:rPr>
        <w:t>能动性，营造积极向上、锐意进取的校园文化。</w:t>
      </w:r>
    </w:p>
    <w:p>
      <w:pPr>
        <w:pStyle w:val="5"/>
        <w:keepNext w:val="0"/>
        <w:keepLines w:val="0"/>
        <w:widowControl w:val="0"/>
        <w:ind w:firstLine="560" w:firstLineChars="200"/>
        <w:rPr>
          <w:rFonts w:hint="eastAsia"/>
        </w:rPr>
      </w:pPr>
      <w:r>
        <w:rPr>
          <w:rFonts w:hint="eastAsia"/>
        </w:rPr>
        <w:t>2.以各类活动为抓手丰富校园文化生活</w:t>
      </w:r>
    </w:p>
    <w:p>
      <w:pPr>
        <w:ind w:firstLine="480"/>
        <w:rPr>
          <w:rFonts w:hint="eastAsia"/>
        </w:rPr>
      </w:pPr>
      <w:r>
        <w:rPr>
          <w:rFonts w:hint="eastAsia"/>
        </w:rPr>
        <w:t>一是以校园文化活动为依托营造良好的校园氛围。我院充分运用院内优势资源开展相关文化活动，包括组织开学典礼、</w:t>
      </w:r>
      <w:r>
        <w:rPr>
          <w:rFonts w:hint="eastAsia"/>
          <w:lang w:eastAsia="zh-CN"/>
        </w:rPr>
        <w:t>中秋畅叙会、</w:t>
      </w:r>
      <w:r>
        <w:rPr>
          <w:rFonts w:hint="eastAsia"/>
        </w:rPr>
        <w:t>元旦晚会和毕业典礼等活动，以及不定期开展和举办具有校园文化内涵的文体娱乐活动，以文化娱乐方式激发青春活力与集体精神，同时营造师生、同学之间轻松、活泼的交流氛围。202</w:t>
      </w:r>
      <w:r>
        <w:rPr>
          <w:rFonts w:hint="eastAsia"/>
          <w:lang w:val="en-US" w:eastAsia="zh-CN"/>
        </w:rPr>
        <w:t>3</w:t>
      </w:r>
      <w:r>
        <w:rPr>
          <w:rFonts w:hint="eastAsia"/>
        </w:rPr>
        <w:t>年，我院</w:t>
      </w:r>
      <w:r>
        <w:rPr>
          <w:rFonts w:hint="eastAsia"/>
          <w:lang w:val="en-US" w:eastAsia="zh-CN"/>
        </w:rPr>
        <w:t>积极组织羽毛球比赛</w:t>
      </w:r>
      <w:r>
        <w:rPr>
          <w:rFonts w:hint="eastAsia"/>
        </w:rPr>
        <w:t>，丰富学生课余生活</w:t>
      </w:r>
      <w:r>
        <w:rPr>
          <w:rFonts w:hint="eastAsia"/>
          <w:lang w:eastAsia="zh-CN"/>
        </w:rPr>
        <w:t>。</w:t>
      </w:r>
    </w:p>
    <w:p>
      <w:pPr>
        <w:ind w:firstLine="480"/>
        <w:rPr>
          <w:rFonts w:hint="eastAsia"/>
        </w:rPr>
      </w:pPr>
      <w:r>
        <w:rPr>
          <w:rFonts w:hint="eastAsia"/>
        </w:rPr>
        <w:t>二是以传统文化切入点增强学生传承创新优秀文化的参与感和获得感。举行“月满中秋，情系中华，广东省社会科学院师生弘扬中华优秀传统文化畅叙会”增强学生对民族文化的认同感和自豪感，让学生深刻感受中秋节、国庆节丰富的文化内涵。在研究生新年晚会中，引导学生编排包含体现时代精神、传统文化习俗、传统艺术、语言文字的相关节目，以亲身实践、沉浸体验的模式，切实感受传统文化的魅力。</w:t>
      </w:r>
    </w:p>
    <w:p>
      <w:pPr>
        <w:ind w:firstLine="480"/>
        <w:rPr>
          <w:rFonts w:hint="eastAsia"/>
        </w:rPr>
      </w:pPr>
      <w:r>
        <w:rPr>
          <w:rFonts w:hint="eastAsia"/>
        </w:rPr>
        <w:t>三是以经验交流为纽带营造友爱互助的校园文化。202</w:t>
      </w:r>
      <w:r>
        <w:rPr>
          <w:rFonts w:hint="eastAsia"/>
          <w:lang w:val="en-US" w:eastAsia="zh-CN"/>
        </w:rPr>
        <w:t>3</w:t>
      </w:r>
      <w:r>
        <w:rPr>
          <w:rFonts w:hint="eastAsia"/>
        </w:rPr>
        <w:t>年，研究生部以讲好考博故事和就业故事为主题举办多场跨年级经验交流会，引导研究生厚植爱国情怀、树立远大理想、明确奋斗目标、学好身边榜样，积极投身中华民族伟大复兴的事业。</w:t>
      </w:r>
      <w:bookmarkStart w:id="90" w:name="_Toc67497681"/>
      <w:bookmarkStart w:id="91" w:name="_Toc12428"/>
      <w:bookmarkStart w:id="92" w:name="_Toc67497718"/>
    </w:p>
    <w:p>
      <w:pPr>
        <w:pStyle w:val="3"/>
        <w:keepNext w:val="0"/>
        <w:keepLines w:val="0"/>
        <w:widowControl w:val="0"/>
        <w:ind w:firstLine="723" w:firstLineChars="200"/>
        <w:rPr>
          <w:rFonts w:hint="eastAsia"/>
        </w:rPr>
      </w:pPr>
      <w:bookmarkStart w:id="93" w:name="_Toc31082"/>
      <w:bookmarkStart w:id="94" w:name="_Toc23908"/>
      <w:bookmarkStart w:id="95" w:name="_Toc29001"/>
      <w:bookmarkStart w:id="96" w:name="_Toc127791870"/>
      <w:bookmarkStart w:id="97" w:name="_Toc17415"/>
      <w:r>
        <w:rPr>
          <w:rFonts w:hint="eastAsia"/>
        </w:rPr>
        <w:t>三、研究生培养相关制度和执行情况</w:t>
      </w:r>
      <w:bookmarkEnd w:id="90"/>
      <w:bookmarkEnd w:id="91"/>
      <w:bookmarkEnd w:id="92"/>
      <w:bookmarkEnd w:id="93"/>
      <w:bookmarkEnd w:id="94"/>
      <w:bookmarkEnd w:id="95"/>
      <w:bookmarkEnd w:id="96"/>
      <w:bookmarkEnd w:id="97"/>
    </w:p>
    <w:p>
      <w:pPr>
        <w:pStyle w:val="4"/>
        <w:keepNext w:val="0"/>
        <w:keepLines w:val="0"/>
        <w:widowControl w:val="0"/>
        <w:ind w:firstLine="602" w:firstLineChars="200"/>
        <w:rPr>
          <w:rFonts w:hint="eastAsia"/>
        </w:rPr>
      </w:pPr>
      <w:bookmarkStart w:id="98" w:name="_Toc127791871"/>
      <w:bookmarkStart w:id="99" w:name="_Toc67497719"/>
      <w:bookmarkStart w:id="100" w:name="_Toc19028"/>
      <w:bookmarkStart w:id="101" w:name="_Toc67497682"/>
      <w:bookmarkStart w:id="102" w:name="_Toc14158"/>
      <w:bookmarkStart w:id="103" w:name="_Toc22405"/>
      <w:bookmarkStart w:id="104" w:name="_Toc5404"/>
      <w:bookmarkStart w:id="105" w:name="_Toc16652"/>
      <w:r>
        <w:rPr>
          <w:rFonts w:hint="eastAsia"/>
        </w:rPr>
        <w:t>（一）课程建设与实施</w:t>
      </w:r>
      <w:bookmarkEnd w:id="98"/>
      <w:bookmarkEnd w:id="99"/>
      <w:bookmarkEnd w:id="100"/>
      <w:bookmarkEnd w:id="101"/>
      <w:bookmarkEnd w:id="102"/>
      <w:bookmarkEnd w:id="103"/>
      <w:bookmarkEnd w:id="104"/>
      <w:bookmarkEnd w:id="105"/>
    </w:p>
    <w:p>
      <w:pPr>
        <w:ind w:firstLine="480"/>
        <w:rPr>
          <w:rFonts w:hint="eastAsia"/>
        </w:rPr>
      </w:pPr>
      <w:r>
        <w:rPr>
          <w:rFonts w:hint="eastAsia"/>
        </w:rPr>
        <w:t>经过多年实践，我院逐步探索出了</w:t>
      </w:r>
      <w:r>
        <w:rPr>
          <w:rFonts w:hint="eastAsia"/>
          <w:lang w:val="en-US" w:eastAsia="zh-CN"/>
        </w:rPr>
        <w:t>较为</w:t>
      </w:r>
      <w:r>
        <w:rPr>
          <w:rFonts w:hint="eastAsia"/>
        </w:rPr>
        <w:t>成熟的研究生课程体系和</w:t>
      </w:r>
      <w:r>
        <w:rPr>
          <w:rFonts w:hint="eastAsia"/>
          <w:lang w:val="en-US" w:eastAsia="zh-CN"/>
        </w:rPr>
        <w:t>相对灵活</w:t>
      </w:r>
      <w:r>
        <w:rPr>
          <w:rFonts w:hint="eastAsia"/>
        </w:rPr>
        <w:t>的教学方式。</w:t>
      </w:r>
      <w:r>
        <w:rPr>
          <w:rFonts w:hint="eastAsia"/>
          <w:highlight w:val="none"/>
        </w:rPr>
        <w:t>202</w:t>
      </w:r>
      <w:r>
        <w:rPr>
          <w:rFonts w:hint="eastAsia"/>
          <w:highlight w:val="none"/>
          <w:lang w:eastAsia="zh-CN"/>
        </w:rPr>
        <w:t>3</w:t>
      </w:r>
      <w:r>
        <w:rPr>
          <w:rFonts w:hint="eastAsia"/>
          <w:highlight w:val="none"/>
        </w:rPr>
        <w:t>年，研究生部组织开设49门课程，包括3门公共学位课、3</w:t>
      </w:r>
      <w:r>
        <w:rPr>
          <w:rFonts w:hint="eastAsia"/>
          <w:highlight w:val="none"/>
          <w:lang w:val="en-US" w:eastAsia="zh-CN"/>
        </w:rPr>
        <w:t>7</w:t>
      </w:r>
      <w:r>
        <w:rPr>
          <w:rFonts w:hint="eastAsia"/>
          <w:highlight w:val="none"/>
        </w:rPr>
        <w:t>门学科专业必修课、</w:t>
      </w:r>
      <w:r>
        <w:rPr>
          <w:rFonts w:hint="eastAsia"/>
          <w:highlight w:val="none"/>
          <w:lang w:eastAsia="zh-CN"/>
        </w:rPr>
        <w:t>9</w:t>
      </w:r>
      <w:r>
        <w:rPr>
          <w:rFonts w:hint="eastAsia"/>
          <w:highlight w:val="none"/>
        </w:rPr>
        <w:t>门专业选修课（见表</w:t>
      </w:r>
      <w:r>
        <w:rPr>
          <w:rFonts w:hint="eastAsia"/>
          <w:highlight w:val="none"/>
          <w:lang w:eastAsia="zh-CN"/>
        </w:rPr>
        <w:t>9</w:t>
      </w:r>
      <w:r>
        <w:rPr>
          <w:rFonts w:hint="eastAsia"/>
          <w:highlight w:val="none"/>
        </w:rPr>
        <w:t>和表</w:t>
      </w:r>
      <w:r>
        <w:rPr>
          <w:rFonts w:hint="eastAsia"/>
          <w:highlight w:val="none"/>
          <w:lang w:eastAsia="zh-CN"/>
        </w:rPr>
        <w:t>1</w:t>
      </w:r>
      <w:r>
        <w:rPr>
          <w:rFonts w:hint="eastAsia"/>
          <w:highlight w:val="none"/>
          <w:lang w:val="en-US" w:eastAsia="zh-CN"/>
        </w:rPr>
        <w:t>0</w:t>
      </w:r>
      <w:r>
        <w:rPr>
          <w:rFonts w:hint="eastAsia"/>
          <w:highlight w:val="none"/>
        </w:rPr>
        <w:t>）。</w:t>
      </w:r>
      <w:r>
        <w:rPr>
          <w:rFonts w:hint="eastAsia"/>
        </w:rPr>
        <w:t>为确保教学质量，通过学生问卷形式，研究生部对所有课程均进行了教学质量评估，全年课程满意度均值高达</w:t>
      </w:r>
      <w:r>
        <w:rPr>
          <w:rFonts w:hint="eastAsia"/>
          <w:highlight w:val="none"/>
        </w:rPr>
        <w:t>9</w:t>
      </w:r>
      <w:r>
        <w:rPr>
          <w:rFonts w:hint="eastAsia"/>
          <w:highlight w:val="none"/>
          <w:lang w:eastAsia="zh-CN"/>
        </w:rPr>
        <w:t>7</w:t>
      </w:r>
      <w:r>
        <w:rPr>
          <w:rFonts w:hint="eastAsia"/>
          <w:highlight w:val="none"/>
          <w:lang w:val="en-US" w:eastAsia="zh-CN"/>
        </w:rPr>
        <w:t>.48分</w:t>
      </w:r>
      <w:r>
        <w:rPr>
          <w:rFonts w:hint="eastAsia"/>
        </w:rPr>
        <w:t>（见表</w:t>
      </w:r>
      <w:r>
        <w:rPr>
          <w:rFonts w:hint="eastAsia"/>
          <w:lang w:val="en-US" w:eastAsia="zh-CN"/>
        </w:rPr>
        <w:t>8</w:t>
      </w:r>
      <w:r>
        <w:rPr>
          <w:rFonts w:hint="eastAsia"/>
        </w:rPr>
        <w:t>）。</w:t>
      </w:r>
    </w:p>
    <w:p>
      <w:pPr>
        <w:pStyle w:val="6"/>
        <w:spacing w:before="0" w:beforeLines="0" w:after="157" w:afterLines="50" w:line="240" w:lineRule="auto"/>
        <w:rPr>
          <w:rFonts w:hint="default" w:ascii="Times New Roman" w:hAnsi="Times New Roman"/>
          <w:b/>
          <w:bCs w:val="0"/>
        </w:rPr>
      </w:pPr>
      <w:r>
        <w:rPr>
          <w:rFonts w:hint="default" w:ascii="Times New Roman" w:hAnsi="Times New Roman"/>
          <w:b/>
          <w:bCs w:val="0"/>
        </w:rPr>
        <w:t>表</w:t>
      </w:r>
      <w:r>
        <w:rPr>
          <w:rFonts w:hint="eastAsia" w:ascii="Times New Roman" w:hAnsi="Times New Roman"/>
          <w:b/>
          <w:bCs w:val="0"/>
          <w:lang w:val="en-US" w:eastAsia="zh-CN"/>
        </w:rPr>
        <w:t>8</w:t>
      </w:r>
      <w:r>
        <w:rPr>
          <w:rFonts w:hint="default" w:ascii="Times New Roman" w:hAnsi="Times New Roman"/>
          <w:b/>
          <w:bCs w:val="0"/>
        </w:rPr>
        <w:t xml:space="preserve">  202</w:t>
      </w:r>
      <w:r>
        <w:rPr>
          <w:rFonts w:hint="eastAsia" w:ascii="Times New Roman" w:hAnsi="Times New Roman"/>
          <w:b/>
          <w:bCs w:val="0"/>
          <w:lang w:val="en-US" w:eastAsia="zh-CN"/>
        </w:rPr>
        <w:t>3</w:t>
      </w:r>
      <w:r>
        <w:rPr>
          <w:rFonts w:hint="default" w:ascii="Times New Roman" w:hAnsi="Times New Roman"/>
          <w:b/>
          <w:bCs w:val="0"/>
        </w:rPr>
        <w:t>年教学测评</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3"/>
        <w:gridCol w:w="2269"/>
        <w:gridCol w:w="407"/>
        <w:gridCol w:w="360"/>
        <w:gridCol w:w="361"/>
        <w:gridCol w:w="372"/>
        <w:gridCol w:w="317"/>
        <w:gridCol w:w="418"/>
        <w:gridCol w:w="407"/>
        <w:gridCol w:w="326"/>
        <w:gridCol w:w="407"/>
        <w:gridCol w:w="1006"/>
        <w:gridCol w:w="15"/>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4"/>
            <w:noWrap w:val="0"/>
            <w:vAlign w:val="center"/>
          </w:tcPr>
          <w:p>
            <w:pPr>
              <w:widowControl w:val="0"/>
              <w:spacing w:before="0" w:beforeLines="0" w:beforeAutospacing="0" w:line="240" w:lineRule="auto"/>
              <w:ind w:firstLine="0" w:firstLineChars="0"/>
              <w:jc w:val="center"/>
              <w:rPr>
                <w:rFonts w:ascii="Times New Roman" w:hAnsi="Times New Roman" w:eastAsia="宋体" w:cs="Times New Roman"/>
                <w:sz w:val="21"/>
                <w:szCs w:val="24"/>
                <w:lang w:val="en-US" w:eastAsia="zh-CN" w:bidi="ar-SA"/>
              </w:rPr>
            </w:pPr>
            <w:r>
              <w:rPr>
                <w:rFonts w:ascii="Times New Roman" w:hAnsi="Times New Roman" w:eastAsia="宋体" w:cs="Times New Roman"/>
                <w:sz w:val="21"/>
                <w:szCs w:val="24"/>
                <w:lang w:val="en-US" w:eastAsia="zh-CN" w:bidi="ar-SA"/>
              </w:rPr>
              <w:t>春季学期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pct"/>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ascii="Times New Roman" w:hAnsi="Times New Roman" w:eastAsia="宋体" w:cs="Times New Roman"/>
                <w:sz w:val="21"/>
                <w:szCs w:val="24"/>
                <w:lang w:val="en-US" w:eastAsia="zh-CN" w:bidi="ar-SA"/>
              </w:rPr>
              <w:t>学科</w:t>
            </w:r>
          </w:p>
        </w:tc>
        <w:tc>
          <w:tcPr>
            <w:tcW w:w="157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ascii="Times New Roman" w:hAnsi="Times New Roman" w:eastAsia="宋体" w:cs="Times New Roman"/>
                <w:sz w:val="21"/>
                <w:szCs w:val="24"/>
                <w:lang w:val="en-US" w:eastAsia="zh-CN" w:bidi="ar-SA"/>
              </w:rPr>
              <w:t>课程名称</w:t>
            </w:r>
          </w:p>
        </w:tc>
        <w:tc>
          <w:tcPr>
            <w:tcW w:w="423"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ascii="Times New Roman" w:hAnsi="Times New Roman" w:eastAsia="宋体" w:cs="Times New Roman"/>
                <w:sz w:val="21"/>
                <w:szCs w:val="24"/>
                <w:lang w:val="en-US" w:eastAsia="zh-CN" w:bidi="ar-SA"/>
              </w:rPr>
              <w:t>教学态度</w:t>
            </w:r>
          </w:p>
        </w:tc>
        <w:tc>
          <w:tcPr>
            <w:tcW w:w="404"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ascii="Times New Roman" w:hAnsi="Times New Roman" w:eastAsia="宋体" w:cs="Times New Roman"/>
                <w:sz w:val="21"/>
                <w:szCs w:val="24"/>
                <w:lang w:val="en-US" w:eastAsia="zh-CN" w:bidi="ar-SA"/>
              </w:rPr>
              <w:t>教学内容</w:t>
            </w:r>
          </w:p>
        </w:tc>
        <w:tc>
          <w:tcPr>
            <w:tcW w:w="484"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ascii="Times New Roman" w:hAnsi="Times New Roman" w:eastAsia="宋体" w:cs="Times New Roman"/>
                <w:sz w:val="21"/>
                <w:szCs w:val="24"/>
                <w:lang w:val="en-US" w:eastAsia="zh-CN" w:bidi="ar-SA"/>
              </w:rPr>
              <w:t>教学方法</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ascii="Times New Roman" w:hAnsi="Times New Roman" w:eastAsia="宋体" w:cs="Times New Roman"/>
                <w:sz w:val="21"/>
                <w:szCs w:val="24"/>
                <w:lang w:val="en-US" w:eastAsia="zh-CN" w:bidi="ar-SA"/>
              </w:rPr>
              <w:t>教学效果</w:t>
            </w:r>
          </w:p>
        </w:tc>
        <w:tc>
          <w:tcPr>
            <w:tcW w:w="599"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ascii="Times New Roman" w:hAnsi="Times New Roman" w:eastAsia="宋体" w:cs="Times New Roman"/>
                <w:sz w:val="21"/>
                <w:szCs w:val="24"/>
                <w:lang w:val="en-US" w:eastAsia="zh-CN" w:bidi="ar-SA"/>
              </w:rPr>
              <w:t>课程平均值</w:t>
            </w:r>
          </w:p>
        </w:tc>
        <w:tc>
          <w:tcPr>
            <w:tcW w:w="540" w:type="pct"/>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ascii="Times New Roman" w:hAnsi="Times New Roman" w:eastAsia="宋体" w:cs="Times New Roman"/>
                <w:sz w:val="21"/>
                <w:szCs w:val="24"/>
                <w:lang w:val="en-US" w:eastAsia="zh-CN" w:bidi="ar-SA"/>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pct"/>
            <w:vMerge w:val="restart"/>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ascii="Times New Roman" w:hAnsi="Times New Roman" w:eastAsia="宋体" w:cs="Times New Roman"/>
                <w:sz w:val="21"/>
                <w:szCs w:val="24"/>
                <w:lang w:val="en-US" w:eastAsia="zh-CN" w:bidi="ar-SA"/>
              </w:rPr>
              <w:t>公共课</w:t>
            </w:r>
          </w:p>
        </w:tc>
        <w:tc>
          <w:tcPr>
            <w:tcW w:w="1570" w:type="pct"/>
            <w:gridSpan w:val="2"/>
            <w:noWrap w:val="0"/>
            <w:vAlign w:val="center"/>
          </w:tcPr>
          <w:p>
            <w:pPr>
              <w:widowControl w:val="0"/>
              <w:spacing w:line="240" w:lineRule="auto"/>
              <w:ind w:firstLine="0" w:firstLineChars="0"/>
              <w:jc w:val="center"/>
              <w:rPr>
                <w:rFonts w:ascii="Times New Roman" w:hAnsi="Times New Roman" w:eastAsia="宋体" w:cs="Times New Roman"/>
                <w:sz w:val="24"/>
                <w:szCs w:val="22"/>
              </w:rPr>
            </w:pPr>
            <w:r>
              <w:rPr>
                <w:rFonts w:hint="eastAsia" w:ascii="Times New Roman" w:hAnsi="Times New Roman" w:eastAsia="宋体" w:cs="Times New Roman"/>
                <w:kern w:val="0"/>
                <w:sz w:val="21"/>
                <w:szCs w:val="24"/>
                <w:lang w:val="en-US" w:eastAsia="zh-CN" w:bidi="ar-SA"/>
              </w:rPr>
              <w:t>英语二</w:t>
            </w:r>
          </w:p>
        </w:tc>
        <w:tc>
          <w:tcPr>
            <w:tcW w:w="423" w:type="pct"/>
            <w:gridSpan w:val="2"/>
            <w:noWrap w:val="0"/>
            <w:vAlign w:val="center"/>
          </w:tcPr>
          <w:p>
            <w:pPr>
              <w:widowControl w:val="0"/>
              <w:spacing w:line="240" w:lineRule="auto"/>
              <w:ind w:firstLine="0" w:firstLineChars="0"/>
              <w:jc w:val="center"/>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95.38</w:t>
            </w:r>
          </w:p>
        </w:tc>
        <w:tc>
          <w:tcPr>
            <w:tcW w:w="404" w:type="pct"/>
            <w:gridSpan w:val="2"/>
            <w:noWrap w:val="0"/>
            <w:vAlign w:val="center"/>
          </w:tcPr>
          <w:p>
            <w:pPr>
              <w:widowControl w:val="0"/>
              <w:spacing w:line="240" w:lineRule="auto"/>
              <w:ind w:firstLine="0" w:firstLineChars="0"/>
              <w:jc w:val="center"/>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87.69</w:t>
            </w:r>
          </w:p>
        </w:tc>
        <w:tc>
          <w:tcPr>
            <w:tcW w:w="484" w:type="pct"/>
            <w:gridSpan w:val="2"/>
            <w:noWrap w:val="0"/>
            <w:vAlign w:val="center"/>
          </w:tcPr>
          <w:p>
            <w:pPr>
              <w:widowControl w:val="0"/>
              <w:spacing w:line="240" w:lineRule="auto"/>
              <w:ind w:firstLine="0" w:firstLineChars="0"/>
              <w:jc w:val="center"/>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87.31</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87.31</w:t>
            </w:r>
          </w:p>
        </w:tc>
        <w:tc>
          <w:tcPr>
            <w:tcW w:w="599" w:type="pct"/>
            <w:gridSpan w:val="2"/>
            <w:noWrap w:val="0"/>
            <w:vAlign w:val="center"/>
          </w:tcPr>
          <w:p>
            <w:pPr>
              <w:widowControl w:val="0"/>
              <w:spacing w:line="240" w:lineRule="auto"/>
              <w:ind w:firstLine="0" w:firstLineChars="0"/>
              <w:jc w:val="center"/>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89.42</w:t>
            </w:r>
          </w:p>
        </w:tc>
        <w:tc>
          <w:tcPr>
            <w:tcW w:w="540" w:type="pct"/>
            <w:vMerge w:val="restart"/>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kern w:val="0"/>
                <w:sz w:val="21"/>
                <w:szCs w:val="24"/>
                <w:lang w:val="en-US" w:eastAsia="zh-CN" w:bidi="ar-SA"/>
              </w:rPr>
              <w:t>9</w:t>
            </w:r>
            <w:r>
              <w:rPr>
                <w:rFonts w:ascii="Times New Roman" w:hAnsi="Times New Roman" w:eastAsia="宋体" w:cs="Times New Roman"/>
                <w:kern w:val="0"/>
                <w:sz w:val="21"/>
                <w:szCs w:val="24"/>
                <w:lang w:val="en-US" w:eastAsia="zh-CN" w:bidi="ar-SA"/>
              </w:rPr>
              <w:t>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c>
          <w:tcPr>
            <w:tcW w:w="1570" w:type="pct"/>
            <w:gridSpan w:val="2"/>
            <w:noWrap w:val="0"/>
            <w:vAlign w:val="center"/>
          </w:tcPr>
          <w:p>
            <w:pPr>
              <w:widowControl w:val="0"/>
              <w:spacing w:line="240" w:lineRule="auto"/>
              <w:ind w:firstLine="0" w:firstLineChars="0"/>
              <w:jc w:val="center"/>
              <w:rPr>
                <w:rFonts w:ascii="Times New Roman" w:hAnsi="Times New Roman" w:eastAsia="宋体" w:cs="Times New Roman"/>
                <w:sz w:val="24"/>
                <w:szCs w:val="22"/>
              </w:rPr>
            </w:pPr>
            <w:r>
              <w:rPr>
                <w:rFonts w:hint="eastAsia" w:ascii="Times New Roman" w:hAnsi="Times New Roman" w:eastAsia="宋体" w:cs="Times New Roman"/>
                <w:kern w:val="0"/>
                <w:sz w:val="21"/>
                <w:szCs w:val="24"/>
                <w:lang w:val="en-US" w:eastAsia="zh-CN" w:bidi="ar-SA"/>
              </w:rPr>
              <w:t>中国马克思主义与当代</w:t>
            </w:r>
          </w:p>
        </w:tc>
        <w:tc>
          <w:tcPr>
            <w:tcW w:w="423" w:type="pct"/>
            <w:gridSpan w:val="2"/>
            <w:noWrap w:val="0"/>
            <w:vAlign w:val="center"/>
          </w:tcPr>
          <w:p>
            <w:pPr>
              <w:widowControl w:val="0"/>
              <w:spacing w:line="240" w:lineRule="auto"/>
              <w:ind w:firstLine="0" w:firstLineChars="0"/>
              <w:jc w:val="center"/>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91.54</w:t>
            </w:r>
          </w:p>
        </w:tc>
        <w:tc>
          <w:tcPr>
            <w:tcW w:w="404" w:type="pct"/>
            <w:gridSpan w:val="2"/>
            <w:noWrap w:val="0"/>
            <w:vAlign w:val="center"/>
          </w:tcPr>
          <w:p>
            <w:pPr>
              <w:widowControl w:val="0"/>
              <w:spacing w:line="240" w:lineRule="auto"/>
              <w:ind w:firstLine="0" w:firstLineChars="0"/>
              <w:jc w:val="center"/>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89.60</w:t>
            </w:r>
          </w:p>
        </w:tc>
        <w:tc>
          <w:tcPr>
            <w:tcW w:w="484" w:type="pct"/>
            <w:gridSpan w:val="2"/>
            <w:noWrap w:val="0"/>
            <w:vAlign w:val="center"/>
          </w:tcPr>
          <w:p>
            <w:pPr>
              <w:widowControl w:val="0"/>
              <w:spacing w:line="240" w:lineRule="auto"/>
              <w:ind w:firstLine="0" w:firstLineChars="0"/>
              <w:jc w:val="center"/>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88.00</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87.20</w:t>
            </w:r>
          </w:p>
        </w:tc>
        <w:tc>
          <w:tcPr>
            <w:tcW w:w="599" w:type="pct"/>
            <w:gridSpan w:val="2"/>
            <w:noWrap w:val="0"/>
            <w:vAlign w:val="center"/>
          </w:tcPr>
          <w:p>
            <w:pPr>
              <w:widowControl w:val="0"/>
              <w:spacing w:line="240" w:lineRule="auto"/>
              <w:ind w:firstLine="0" w:firstLineChars="0"/>
              <w:jc w:val="center"/>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89.08</w:t>
            </w:r>
          </w:p>
        </w:tc>
        <w:tc>
          <w:tcPr>
            <w:tcW w:w="540"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pct"/>
            <w:vMerge w:val="restart"/>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ascii="Times New Roman" w:hAnsi="Times New Roman" w:eastAsia="宋体" w:cs="Times New Roman"/>
                <w:sz w:val="21"/>
                <w:szCs w:val="24"/>
                <w:lang w:val="en-US" w:eastAsia="zh-CN" w:bidi="ar-SA"/>
              </w:rPr>
              <w:t>经济学</w:t>
            </w:r>
          </w:p>
        </w:tc>
        <w:tc>
          <w:tcPr>
            <w:tcW w:w="1570"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hint="eastAsia" w:ascii="Times New Roman" w:hAnsi="Times New Roman" w:eastAsia="宋体" w:cs="Times New Roman"/>
                <w:kern w:val="0"/>
                <w:sz w:val="21"/>
                <w:szCs w:val="24"/>
                <w:lang w:val="en-US" w:eastAsia="zh-CN" w:bidi="ar-SA"/>
              </w:rPr>
              <w:t>经典及前沿文献选读</w:t>
            </w:r>
          </w:p>
        </w:tc>
        <w:tc>
          <w:tcPr>
            <w:tcW w:w="423"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92.5</w:t>
            </w:r>
          </w:p>
        </w:tc>
        <w:tc>
          <w:tcPr>
            <w:tcW w:w="404"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92.5</w:t>
            </w:r>
          </w:p>
        </w:tc>
        <w:tc>
          <w:tcPr>
            <w:tcW w:w="484"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92.5</w:t>
            </w:r>
          </w:p>
        </w:tc>
        <w:tc>
          <w:tcPr>
            <w:tcW w:w="430"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92.5</w:t>
            </w:r>
          </w:p>
        </w:tc>
        <w:tc>
          <w:tcPr>
            <w:tcW w:w="599"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92.5</w:t>
            </w:r>
          </w:p>
        </w:tc>
        <w:tc>
          <w:tcPr>
            <w:tcW w:w="540"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c>
          <w:tcPr>
            <w:tcW w:w="1570"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sz w:val="24"/>
                <w:szCs w:val="22"/>
              </w:rPr>
            </w:pPr>
            <w:r>
              <w:rPr>
                <w:rFonts w:hint="eastAsia" w:ascii="Times New Roman" w:hAnsi="Times New Roman" w:eastAsia="宋体" w:cs="Times New Roman"/>
                <w:kern w:val="0"/>
                <w:sz w:val="21"/>
                <w:szCs w:val="24"/>
                <w:lang w:val="en-US" w:eastAsia="zh-CN" w:bidi="ar-SA"/>
              </w:rPr>
              <w:t>研究方法论</w:t>
            </w:r>
          </w:p>
        </w:tc>
        <w:tc>
          <w:tcPr>
            <w:tcW w:w="423"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96.67</w:t>
            </w:r>
          </w:p>
        </w:tc>
        <w:tc>
          <w:tcPr>
            <w:tcW w:w="404"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96.67</w:t>
            </w:r>
          </w:p>
        </w:tc>
        <w:tc>
          <w:tcPr>
            <w:tcW w:w="484"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98.33</w:t>
            </w:r>
          </w:p>
        </w:tc>
        <w:tc>
          <w:tcPr>
            <w:tcW w:w="430"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96.67</w:t>
            </w:r>
          </w:p>
        </w:tc>
        <w:tc>
          <w:tcPr>
            <w:tcW w:w="599"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97.08</w:t>
            </w:r>
          </w:p>
        </w:tc>
        <w:tc>
          <w:tcPr>
            <w:tcW w:w="540"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c>
          <w:tcPr>
            <w:tcW w:w="1570"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hint="eastAsia" w:ascii="Times New Roman" w:hAnsi="Times New Roman" w:eastAsia="宋体" w:cs="Times New Roman"/>
                <w:kern w:val="0"/>
                <w:sz w:val="21"/>
                <w:szCs w:val="24"/>
                <w:lang w:val="en-US" w:eastAsia="zh-CN" w:bidi="ar-SA"/>
              </w:rPr>
              <w:t>制度经济学</w:t>
            </w:r>
          </w:p>
        </w:tc>
        <w:tc>
          <w:tcPr>
            <w:tcW w:w="423"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93.33</w:t>
            </w:r>
          </w:p>
        </w:tc>
        <w:tc>
          <w:tcPr>
            <w:tcW w:w="404"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96.67</w:t>
            </w:r>
          </w:p>
        </w:tc>
        <w:tc>
          <w:tcPr>
            <w:tcW w:w="484"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96.67</w:t>
            </w:r>
          </w:p>
        </w:tc>
        <w:tc>
          <w:tcPr>
            <w:tcW w:w="430"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96.56</w:t>
            </w:r>
          </w:p>
        </w:tc>
        <w:tc>
          <w:tcPr>
            <w:tcW w:w="599"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95.81</w:t>
            </w:r>
          </w:p>
        </w:tc>
        <w:tc>
          <w:tcPr>
            <w:tcW w:w="540"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c>
          <w:tcPr>
            <w:tcW w:w="1570"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hint="eastAsia" w:ascii="Times New Roman" w:hAnsi="Times New Roman" w:eastAsia="宋体" w:cs="Times New Roman"/>
                <w:kern w:val="0"/>
                <w:sz w:val="21"/>
                <w:szCs w:val="24"/>
                <w:lang w:val="en-US" w:eastAsia="zh-CN" w:bidi="ar-SA"/>
              </w:rPr>
              <w:t>创新发展经济学</w:t>
            </w:r>
          </w:p>
        </w:tc>
        <w:tc>
          <w:tcPr>
            <w:tcW w:w="42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40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48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43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599"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540"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c>
          <w:tcPr>
            <w:tcW w:w="157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hint="eastAsia" w:ascii="Times New Roman" w:hAnsi="Times New Roman" w:eastAsia="宋体" w:cs="Times New Roman"/>
                <w:kern w:val="0"/>
                <w:sz w:val="21"/>
                <w:szCs w:val="24"/>
                <w:lang w:val="en-US" w:eastAsia="zh-CN" w:bidi="ar-SA"/>
              </w:rPr>
              <w:t>货币银行学</w:t>
            </w:r>
          </w:p>
        </w:tc>
        <w:tc>
          <w:tcPr>
            <w:tcW w:w="42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40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48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43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599"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540"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c>
          <w:tcPr>
            <w:tcW w:w="1570"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hint="eastAsia" w:ascii="Times New Roman" w:hAnsi="Times New Roman" w:eastAsia="宋体" w:cs="Times New Roman"/>
                <w:kern w:val="0"/>
                <w:sz w:val="21"/>
                <w:szCs w:val="24"/>
                <w:lang w:val="en-US" w:eastAsia="zh-CN" w:bidi="ar-SA"/>
              </w:rPr>
              <w:t>资源环境经济学</w:t>
            </w:r>
          </w:p>
        </w:tc>
        <w:tc>
          <w:tcPr>
            <w:tcW w:w="423"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404"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484"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430"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96.67</w:t>
            </w:r>
          </w:p>
        </w:tc>
        <w:tc>
          <w:tcPr>
            <w:tcW w:w="599"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99.17</w:t>
            </w:r>
          </w:p>
        </w:tc>
        <w:tc>
          <w:tcPr>
            <w:tcW w:w="540"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c>
          <w:tcPr>
            <w:tcW w:w="1570"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hint="eastAsia" w:ascii="Times New Roman" w:hAnsi="Times New Roman" w:eastAsia="宋体" w:cs="Times New Roman"/>
                <w:kern w:val="0"/>
                <w:sz w:val="21"/>
                <w:szCs w:val="24"/>
                <w:lang w:val="en-US" w:eastAsia="zh-CN" w:bidi="ar-SA"/>
              </w:rPr>
              <w:t>区域经济学</w:t>
            </w:r>
          </w:p>
        </w:tc>
        <w:tc>
          <w:tcPr>
            <w:tcW w:w="423"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404"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97.5</w:t>
            </w:r>
          </w:p>
        </w:tc>
        <w:tc>
          <w:tcPr>
            <w:tcW w:w="484"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97.5</w:t>
            </w:r>
          </w:p>
        </w:tc>
        <w:tc>
          <w:tcPr>
            <w:tcW w:w="430"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97.5</w:t>
            </w:r>
          </w:p>
        </w:tc>
        <w:tc>
          <w:tcPr>
            <w:tcW w:w="599"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98.13</w:t>
            </w:r>
          </w:p>
        </w:tc>
        <w:tc>
          <w:tcPr>
            <w:tcW w:w="540"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c>
          <w:tcPr>
            <w:tcW w:w="1570"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hint="eastAsia" w:ascii="Times New Roman" w:hAnsi="Times New Roman" w:eastAsia="宋体" w:cs="Times New Roman"/>
                <w:kern w:val="0"/>
                <w:sz w:val="21"/>
                <w:szCs w:val="24"/>
                <w:lang w:val="en-US" w:eastAsia="zh-CN" w:bidi="ar-SA"/>
              </w:rPr>
              <w:t>国际经济学</w:t>
            </w:r>
          </w:p>
        </w:tc>
        <w:tc>
          <w:tcPr>
            <w:tcW w:w="42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40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48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43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599"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540"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pct"/>
            <w:vMerge w:val="restart"/>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ascii="Times New Roman" w:hAnsi="Times New Roman" w:eastAsia="宋体" w:cs="Times New Roman"/>
                <w:sz w:val="21"/>
                <w:szCs w:val="24"/>
                <w:lang w:val="en-US" w:eastAsia="zh-CN" w:bidi="ar-SA"/>
              </w:rPr>
              <w:t>社会学</w:t>
            </w:r>
          </w:p>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c>
          <w:tcPr>
            <w:tcW w:w="157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color w:val="FF0000"/>
                <w:sz w:val="24"/>
                <w:szCs w:val="22"/>
              </w:rPr>
            </w:pPr>
            <w:r>
              <w:rPr>
                <w:rFonts w:hint="eastAsia" w:ascii="Times New Roman" w:hAnsi="Times New Roman" w:eastAsia="宋体" w:cs="Times New Roman"/>
                <w:kern w:val="0"/>
                <w:sz w:val="21"/>
                <w:szCs w:val="24"/>
                <w:lang w:val="en-US" w:eastAsia="zh-CN" w:bidi="ar-SA"/>
              </w:rPr>
              <w:t>科学社会学</w:t>
            </w:r>
          </w:p>
        </w:tc>
        <w:tc>
          <w:tcPr>
            <w:tcW w:w="423"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color w:val="FF0000"/>
                <w:sz w:val="24"/>
                <w:szCs w:val="22"/>
              </w:rPr>
            </w:pPr>
            <w:r>
              <w:rPr>
                <w:rFonts w:ascii="Times New Roman" w:hAnsi="Times New Roman" w:eastAsia="宋体" w:cs="Times New Roman"/>
                <w:kern w:val="0"/>
                <w:sz w:val="21"/>
                <w:szCs w:val="24"/>
                <w:lang w:val="en-US" w:eastAsia="zh-CN" w:bidi="ar-SA"/>
              </w:rPr>
              <w:t>96.67</w:t>
            </w:r>
          </w:p>
        </w:tc>
        <w:tc>
          <w:tcPr>
            <w:tcW w:w="404"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color w:val="FF0000"/>
                <w:sz w:val="24"/>
                <w:szCs w:val="22"/>
              </w:rPr>
            </w:pPr>
            <w:r>
              <w:rPr>
                <w:rFonts w:ascii="Times New Roman" w:hAnsi="Times New Roman" w:eastAsia="宋体" w:cs="Times New Roman"/>
                <w:kern w:val="0"/>
                <w:sz w:val="21"/>
                <w:szCs w:val="24"/>
                <w:lang w:val="en-US" w:eastAsia="zh-CN" w:bidi="ar-SA"/>
              </w:rPr>
              <w:t>90</w:t>
            </w:r>
          </w:p>
        </w:tc>
        <w:tc>
          <w:tcPr>
            <w:tcW w:w="484"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color w:val="FF0000"/>
                <w:sz w:val="24"/>
                <w:szCs w:val="22"/>
              </w:rPr>
            </w:pPr>
            <w:r>
              <w:rPr>
                <w:rFonts w:ascii="Times New Roman" w:hAnsi="Times New Roman" w:eastAsia="宋体" w:cs="Times New Roman"/>
                <w:kern w:val="0"/>
                <w:sz w:val="21"/>
                <w:szCs w:val="24"/>
                <w:lang w:val="en-US" w:eastAsia="zh-CN" w:bidi="ar-SA"/>
              </w:rPr>
              <w:t>90</w:t>
            </w:r>
          </w:p>
        </w:tc>
        <w:tc>
          <w:tcPr>
            <w:tcW w:w="430"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color w:val="FF0000"/>
                <w:sz w:val="24"/>
                <w:szCs w:val="22"/>
              </w:rPr>
            </w:pPr>
            <w:r>
              <w:rPr>
                <w:rFonts w:ascii="Times New Roman" w:hAnsi="Times New Roman" w:eastAsia="宋体" w:cs="Times New Roman"/>
                <w:kern w:val="0"/>
                <w:sz w:val="21"/>
                <w:szCs w:val="24"/>
                <w:lang w:val="en-US" w:eastAsia="zh-CN" w:bidi="ar-SA"/>
              </w:rPr>
              <w:t>85</w:t>
            </w:r>
          </w:p>
        </w:tc>
        <w:tc>
          <w:tcPr>
            <w:tcW w:w="599"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color w:val="FF0000"/>
                <w:sz w:val="24"/>
                <w:szCs w:val="22"/>
              </w:rPr>
            </w:pPr>
            <w:r>
              <w:rPr>
                <w:rFonts w:ascii="Times New Roman" w:hAnsi="Times New Roman" w:eastAsia="宋体" w:cs="Times New Roman"/>
                <w:kern w:val="0"/>
                <w:sz w:val="21"/>
                <w:szCs w:val="24"/>
                <w:lang w:val="en-US" w:eastAsia="zh-CN" w:bidi="ar-SA"/>
              </w:rPr>
              <w:t>90.42</w:t>
            </w:r>
          </w:p>
        </w:tc>
        <w:tc>
          <w:tcPr>
            <w:tcW w:w="540" w:type="pct"/>
            <w:vMerge w:val="continue"/>
            <w:noWrap w:val="0"/>
            <w:vAlign w:val="center"/>
          </w:tcPr>
          <w:p>
            <w:pPr>
              <w:widowControl w:val="0"/>
              <w:spacing w:line="240" w:lineRule="auto"/>
              <w:ind w:firstLine="0" w:firstLineChars="0"/>
              <w:jc w:val="center"/>
              <w:rPr>
                <w:rFonts w:ascii="Times New Roman" w:hAnsi="Times New Roman" w:eastAsia="宋体" w:cs="Times New Roman"/>
                <w:color w:val="FF0000"/>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548" w:type="pct"/>
            <w:vMerge w:val="continue"/>
            <w:noWrap w:val="0"/>
            <w:vAlign w:val="center"/>
          </w:tcPr>
          <w:p>
            <w:pPr>
              <w:widowControl w:val="0"/>
              <w:spacing w:line="240" w:lineRule="auto"/>
              <w:ind w:firstLine="0" w:firstLineChars="0"/>
              <w:jc w:val="center"/>
              <w:rPr>
                <w:rFonts w:ascii="Times New Roman" w:hAnsi="Times New Roman" w:eastAsia="宋体" w:cs="Times New Roman"/>
                <w:color w:val="FF0000"/>
                <w:sz w:val="21"/>
                <w:szCs w:val="24"/>
                <w:lang w:val="en-US" w:eastAsia="zh-CN" w:bidi="ar-SA"/>
              </w:rPr>
            </w:pPr>
          </w:p>
        </w:tc>
        <w:tc>
          <w:tcPr>
            <w:tcW w:w="157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color w:val="FF0000"/>
                <w:sz w:val="24"/>
                <w:szCs w:val="22"/>
              </w:rPr>
            </w:pPr>
            <w:r>
              <w:rPr>
                <w:rFonts w:hint="eastAsia" w:ascii="Times New Roman" w:hAnsi="Times New Roman" w:eastAsia="宋体" w:cs="Times New Roman"/>
                <w:kern w:val="0"/>
                <w:sz w:val="21"/>
                <w:szCs w:val="24"/>
                <w:lang w:val="en-US" w:eastAsia="zh-CN" w:bidi="ar-SA"/>
              </w:rPr>
              <w:t>教育人口学</w:t>
            </w:r>
          </w:p>
        </w:tc>
        <w:tc>
          <w:tcPr>
            <w:tcW w:w="423"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color w:val="FF0000"/>
                <w:sz w:val="24"/>
                <w:szCs w:val="22"/>
              </w:rPr>
            </w:pPr>
            <w:r>
              <w:rPr>
                <w:rFonts w:ascii="Times New Roman" w:hAnsi="Times New Roman" w:eastAsia="宋体" w:cs="Times New Roman"/>
                <w:kern w:val="0"/>
                <w:sz w:val="21"/>
                <w:szCs w:val="24"/>
                <w:lang w:val="en-US" w:eastAsia="zh-CN" w:bidi="ar-SA"/>
              </w:rPr>
              <w:t>90</w:t>
            </w:r>
          </w:p>
        </w:tc>
        <w:tc>
          <w:tcPr>
            <w:tcW w:w="404"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color w:val="FF0000"/>
                <w:sz w:val="24"/>
                <w:szCs w:val="22"/>
              </w:rPr>
            </w:pPr>
            <w:r>
              <w:rPr>
                <w:rFonts w:ascii="Times New Roman" w:hAnsi="Times New Roman" w:eastAsia="宋体" w:cs="Times New Roman"/>
                <w:kern w:val="0"/>
                <w:sz w:val="21"/>
                <w:szCs w:val="24"/>
                <w:lang w:val="en-US" w:eastAsia="zh-CN" w:bidi="ar-SA"/>
              </w:rPr>
              <w:t>83.33</w:t>
            </w:r>
          </w:p>
        </w:tc>
        <w:tc>
          <w:tcPr>
            <w:tcW w:w="484"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color w:val="FF0000"/>
                <w:sz w:val="24"/>
                <w:szCs w:val="22"/>
              </w:rPr>
            </w:pPr>
            <w:r>
              <w:rPr>
                <w:rFonts w:ascii="Times New Roman" w:hAnsi="Times New Roman" w:eastAsia="宋体" w:cs="Times New Roman"/>
                <w:kern w:val="0"/>
                <w:sz w:val="21"/>
                <w:szCs w:val="24"/>
                <w:lang w:val="en-US" w:eastAsia="zh-CN" w:bidi="ar-SA"/>
              </w:rPr>
              <w:t>83.33</w:t>
            </w:r>
          </w:p>
        </w:tc>
        <w:tc>
          <w:tcPr>
            <w:tcW w:w="430"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color w:val="FF0000"/>
                <w:sz w:val="24"/>
                <w:szCs w:val="22"/>
              </w:rPr>
            </w:pPr>
            <w:r>
              <w:rPr>
                <w:rFonts w:ascii="Times New Roman" w:hAnsi="Times New Roman" w:eastAsia="宋体" w:cs="Times New Roman"/>
                <w:kern w:val="0"/>
                <w:sz w:val="21"/>
                <w:szCs w:val="24"/>
                <w:lang w:val="en-US" w:eastAsia="zh-CN" w:bidi="ar-SA"/>
              </w:rPr>
              <w:t>83.33</w:t>
            </w:r>
          </w:p>
        </w:tc>
        <w:tc>
          <w:tcPr>
            <w:tcW w:w="599"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color w:val="FF0000"/>
                <w:sz w:val="24"/>
                <w:szCs w:val="22"/>
              </w:rPr>
            </w:pPr>
            <w:r>
              <w:rPr>
                <w:rFonts w:ascii="Times New Roman" w:hAnsi="Times New Roman" w:eastAsia="宋体" w:cs="Times New Roman"/>
                <w:kern w:val="0"/>
                <w:sz w:val="21"/>
                <w:szCs w:val="24"/>
                <w:lang w:val="en-US" w:eastAsia="zh-CN" w:bidi="ar-SA"/>
              </w:rPr>
              <w:t>85.00</w:t>
            </w:r>
          </w:p>
        </w:tc>
        <w:tc>
          <w:tcPr>
            <w:tcW w:w="540" w:type="pct"/>
            <w:vMerge w:val="continue"/>
            <w:noWrap w:val="0"/>
            <w:vAlign w:val="center"/>
          </w:tcPr>
          <w:p>
            <w:pPr>
              <w:widowControl w:val="0"/>
              <w:spacing w:line="240" w:lineRule="auto"/>
              <w:ind w:firstLine="0" w:firstLineChars="0"/>
              <w:jc w:val="center"/>
              <w:rPr>
                <w:rFonts w:ascii="Times New Roman" w:hAnsi="Times New Roman" w:eastAsia="宋体" w:cs="Times New Roman"/>
                <w:color w:val="FF0000"/>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548"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c>
          <w:tcPr>
            <w:tcW w:w="157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hint="eastAsia" w:ascii="Times New Roman" w:hAnsi="Times New Roman" w:eastAsia="宋体" w:cs="Times New Roman"/>
                <w:kern w:val="0"/>
                <w:sz w:val="21"/>
                <w:szCs w:val="24"/>
                <w:lang w:val="en-US" w:eastAsia="zh-CN" w:bidi="ar-SA"/>
              </w:rPr>
              <w:t>田野调查理论与方法</w:t>
            </w:r>
          </w:p>
        </w:tc>
        <w:tc>
          <w:tcPr>
            <w:tcW w:w="42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40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97.14</w:t>
            </w:r>
          </w:p>
        </w:tc>
        <w:tc>
          <w:tcPr>
            <w:tcW w:w="48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43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98.57</w:t>
            </w:r>
          </w:p>
        </w:tc>
        <w:tc>
          <w:tcPr>
            <w:tcW w:w="599"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98.93</w:t>
            </w:r>
          </w:p>
        </w:tc>
        <w:tc>
          <w:tcPr>
            <w:tcW w:w="540"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c>
          <w:tcPr>
            <w:tcW w:w="1570"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hint="eastAsia" w:ascii="Times New Roman" w:hAnsi="Times New Roman" w:eastAsia="宋体" w:cs="Times New Roman"/>
                <w:kern w:val="0"/>
                <w:sz w:val="21"/>
                <w:szCs w:val="24"/>
                <w:lang w:val="en-US" w:eastAsia="zh-CN" w:bidi="ar-SA"/>
              </w:rPr>
              <w:t>高级统计分析</w:t>
            </w:r>
          </w:p>
        </w:tc>
        <w:tc>
          <w:tcPr>
            <w:tcW w:w="423"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96.67</w:t>
            </w:r>
          </w:p>
        </w:tc>
        <w:tc>
          <w:tcPr>
            <w:tcW w:w="404"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96.67</w:t>
            </w:r>
          </w:p>
        </w:tc>
        <w:tc>
          <w:tcPr>
            <w:tcW w:w="484"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95</w:t>
            </w:r>
          </w:p>
        </w:tc>
        <w:tc>
          <w:tcPr>
            <w:tcW w:w="430"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95</w:t>
            </w:r>
          </w:p>
        </w:tc>
        <w:tc>
          <w:tcPr>
            <w:tcW w:w="599"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95.83</w:t>
            </w:r>
          </w:p>
        </w:tc>
        <w:tc>
          <w:tcPr>
            <w:tcW w:w="540"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c>
          <w:tcPr>
            <w:tcW w:w="1570"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hint="eastAsia" w:ascii="Times New Roman" w:hAnsi="Times New Roman" w:eastAsia="宋体" w:cs="Times New Roman"/>
                <w:kern w:val="0"/>
                <w:sz w:val="21"/>
                <w:szCs w:val="24"/>
                <w:lang w:val="en-US" w:eastAsia="zh-CN" w:bidi="ar-SA"/>
              </w:rPr>
              <w:t>民俗研究理论与方法</w:t>
            </w:r>
          </w:p>
        </w:tc>
        <w:tc>
          <w:tcPr>
            <w:tcW w:w="42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40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48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43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599"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540"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c>
          <w:tcPr>
            <w:tcW w:w="157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hint="eastAsia" w:ascii="Times New Roman" w:hAnsi="Times New Roman" w:eastAsia="宋体" w:cs="Times New Roman"/>
                <w:kern w:val="0"/>
                <w:sz w:val="21"/>
                <w:szCs w:val="24"/>
                <w:lang w:val="en-US" w:eastAsia="zh-CN" w:bidi="ar-SA"/>
              </w:rPr>
              <w:t>人口统计与信息分析技术</w:t>
            </w:r>
          </w:p>
        </w:tc>
        <w:tc>
          <w:tcPr>
            <w:tcW w:w="42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95</w:t>
            </w:r>
          </w:p>
        </w:tc>
        <w:tc>
          <w:tcPr>
            <w:tcW w:w="40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95</w:t>
            </w:r>
          </w:p>
        </w:tc>
        <w:tc>
          <w:tcPr>
            <w:tcW w:w="48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95</w:t>
            </w:r>
          </w:p>
        </w:tc>
        <w:tc>
          <w:tcPr>
            <w:tcW w:w="43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95</w:t>
            </w:r>
          </w:p>
        </w:tc>
        <w:tc>
          <w:tcPr>
            <w:tcW w:w="599"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95</w:t>
            </w:r>
          </w:p>
        </w:tc>
        <w:tc>
          <w:tcPr>
            <w:tcW w:w="540"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548" w:type="pct"/>
            <w:vMerge w:val="restart"/>
            <w:noWrap w:val="0"/>
            <w:vAlign w:val="center"/>
          </w:tcPr>
          <w:p>
            <w:pPr>
              <w:widowControl w:val="0"/>
              <w:spacing w:line="240" w:lineRule="auto"/>
              <w:ind w:firstLine="0" w:firstLineChars="0"/>
              <w:jc w:val="center"/>
              <w:rPr>
                <w:rFonts w:hint="eastAsia"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中国史</w:t>
            </w:r>
          </w:p>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c>
          <w:tcPr>
            <w:tcW w:w="157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hint="eastAsia" w:ascii="Times New Roman" w:hAnsi="Times New Roman" w:eastAsia="宋体" w:cs="Times New Roman"/>
                <w:kern w:val="0"/>
                <w:sz w:val="21"/>
                <w:szCs w:val="24"/>
                <w:lang w:val="en-US" w:eastAsia="zh-CN" w:bidi="ar-SA"/>
              </w:rPr>
              <w:t>中国政治制度史</w:t>
            </w:r>
          </w:p>
        </w:tc>
        <w:tc>
          <w:tcPr>
            <w:tcW w:w="42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40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98</w:t>
            </w:r>
          </w:p>
        </w:tc>
        <w:tc>
          <w:tcPr>
            <w:tcW w:w="48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43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599"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99.5</w:t>
            </w:r>
          </w:p>
        </w:tc>
        <w:tc>
          <w:tcPr>
            <w:tcW w:w="540"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548"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c>
          <w:tcPr>
            <w:tcW w:w="157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hint="eastAsia" w:ascii="Times New Roman" w:hAnsi="Times New Roman" w:eastAsia="宋体" w:cs="Times New Roman"/>
                <w:kern w:val="0"/>
                <w:sz w:val="21"/>
                <w:szCs w:val="24"/>
                <w:lang w:val="en-US" w:eastAsia="zh-CN" w:bidi="ar-SA"/>
              </w:rPr>
              <w:t>孙中山与中华民国史</w:t>
            </w:r>
          </w:p>
        </w:tc>
        <w:tc>
          <w:tcPr>
            <w:tcW w:w="42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40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48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43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599"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540"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548"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c>
          <w:tcPr>
            <w:tcW w:w="157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hint="eastAsia" w:ascii="Times New Roman" w:hAnsi="Times New Roman" w:eastAsia="宋体" w:cs="Times New Roman"/>
                <w:kern w:val="0"/>
                <w:sz w:val="21"/>
                <w:szCs w:val="24"/>
                <w:lang w:val="en-US" w:eastAsia="zh-CN" w:bidi="ar-SA"/>
              </w:rPr>
              <w:t>近代珠三角开发史</w:t>
            </w:r>
          </w:p>
        </w:tc>
        <w:tc>
          <w:tcPr>
            <w:tcW w:w="42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40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48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43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599"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540"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pct"/>
            <w:vMerge w:val="continue"/>
            <w:noWrap w:val="0"/>
            <w:vAlign w:val="center"/>
          </w:tcPr>
          <w:p>
            <w:pPr>
              <w:widowControl w:val="0"/>
              <w:spacing w:line="240" w:lineRule="auto"/>
              <w:ind w:firstLine="0" w:firstLineChars="0"/>
              <w:jc w:val="center"/>
              <w:rPr>
                <w:rFonts w:hint="eastAsia" w:ascii="Times New Roman" w:hAnsi="Times New Roman" w:eastAsia="宋体" w:cs="Times New Roman"/>
                <w:sz w:val="21"/>
                <w:szCs w:val="24"/>
                <w:lang w:val="en-US" w:eastAsia="zh-CN" w:bidi="ar-SA"/>
              </w:rPr>
            </w:pPr>
          </w:p>
        </w:tc>
        <w:tc>
          <w:tcPr>
            <w:tcW w:w="157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highlight w:val="yellow"/>
              </w:rPr>
            </w:pPr>
            <w:r>
              <w:rPr>
                <w:rFonts w:hint="eastAsia" w:ascii="Times New Roman" w:hAnsi="Times New Roman" w:eastAsia="宋体" w:cs="Times New Roman"/>
                <w:kern w:val="0"/>
                <w:sz w:val="21"/>
                <w:szCs w:val="24"/>
                <w:lang w:val="en-US" w:eastAsia="zh-CN" w:bidi="ar-SA"/>
              </w:rPr>
              <w:t>中国近现代史料与史学</w:t>
            </w:r>
          </w:p>
        </w:tc>
        <w:tc>
          <w:tcPr>
            <w:tcW w:w="42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40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48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43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599"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540"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pct"/>
            <w:vMerge w:val="continue"/>
            <w:noWrap w:val="0"/>
            <w:vAlign w:val="center"/>
          </w:tcPr>
          <w:p>
            <w:pPr>
              <w:widowControl w:val="0"/>
              <w:spacing w:line="240" w:lineRule="auto"/>
              <w:ind w:firstLine="0" w:firstLineChars="0"/>
              <w:jc w:val="center"/>
              <w:rPr>
                <w:rFonts w:hint="eastAsia" w:ascii="Times New Roman" w:hAnsi="Times New Roman" w:eastAsia="宋体" w:cs="Times New Roman"/>
                <w:sz w:val="21"/>
                <w:szCs w:val="24"/>
                <w:lang w:val="en-US" w:eastAsia="zh-CN" w:bidi="ar-SA"/>
              </w:rPr>
            </w:pPr>
          </w:p>
        </w:tc>
        <w:tc>
          <w:tcPr>
            <w:tcW w:w="157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sz w:val="24"/>
                <w:szCs w:val="22"/>
              </w:rPr>
            </w:pPr>
            <w:r>
              <w:rPr>
                <w:rFonts w:hint="eastAsia" w:ascii="Times New Roman" w:hAnsi="Times New Roman" w:eastAsia="宋体" w:cs="Times New Roman"/>
                <w:kern w:val="0"/>
                <w:sz w:val="21"/>
                <w:szCs w:val="24"/>
                <w:lang w:val="en-US" w:eastAsia="zh-CN" w:bidi="ar-SA"/>
              </w:rPr>
              <w:t>海洋史专题</w:t>
            </w:r>
          </w:p>
        </w:tc>
        <w:tc>
          <w:tcPr>
            <w:tcW w:w="42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40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48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43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599"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540"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548"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c>
          <w:tcPr>
            <w:tcW w:w="157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hint="eastAsia" w:ascii="Times New Roman" w:hAnsi="Times New Roman" w:eastAsia="宋体" w:cs="Times New Roman"/>
                <w:kern w:val="0"/>
                <w:sz w:val="21"/>
                <w:szCs w:val="24"/>
                <w:lang w:val="en-US" w:eastAsia="zh-CN" w:bidi="ar-SA"/>
              </w:rPr>
              <w:t>南海历史地理</w:t>
            </w:r>
          </w:p>
        </w:tc>
        <w:tc>
          <w:tcPr>
            <w:tcW w:w="42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40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48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43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599"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sz w:val="24"/>
                <w:szCs w:val="22"/>
              </w:rPr>
            </w:pPr>
            <w:r>
              <w:rPr>
                <w:rFonts w:ascii="Times New Roman" w:hAnsi="Times New Roman" w:eastAsia="宋体" w:cs="Times New Roman"/>
                <w:kern w:val="0"/>
                <w:sz w:val="21"/>
                <w:szCs w:val="24"/>
                <w:lang w:val="en-US" w:eastAsia="zh-CN" w:bidi="ar-SA"/>
              </w:rPr>
              <w:t>100</w:t>
            </w:r>
          </w:p>
        </w:tc>
        <w:tc>
          <w:tcPr>
            <w:tcW w:w="540"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000" w:type="pct"/>
            <w:gridSpan w:val="14"/>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ascii="Times New Roman" w:hAnsi="Times New Roman" w:eastAsia="宋体" w:cs="Times New Roman"/>
                <w:sz w:val="21"/>
                <w:szCs w:val="24"/>
                <w:lang w:val="en-US" w:eastAsia="zh-CN" w:bidi="ar-SA"/>
              </w:rPr>
              <w:t>秋季学期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48" w:type="pct"/>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ascii="Times New Roman" w:hAnsi="Times New Roman" w:eastAsia="宋体" w:cs="Times New Roman"/>
                <w:sz w:val="21"/>
                <w:szCs w:val="24"/>
                <w:lang w:val="en-US" w:eastAsia="zh-CN" w:bidi="ar-SA"/>
              </w:rPr>
              <w:t>学科</w:t>
            </w:r>
          </w:p>
        </w:tc>
        <w:tc>
          <w:tcPr>
            <w:tcW w:w="1331" w:type="pct"/>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ascii="Times New Roman" w:hAnsi="Times New Roman" w:eastAsia="宋体" w:cs="Times New Roman"/>
                <w:sz w:val="21"/>
                <w:szCs w:val="24"/>
                <w:lang w:val="en-US" w:eastAsia="zh-CN" w:bidi="ar-SA"/>
              </w:rPr>
              <w:t>课程名称</w:t>
            </w:r>
          </w:p>
        </w:tc>
        <w:tc>
          <w:tcPr>
            <w:tcW w:w="45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ascii="Times New Roman" w:hAnsi="Times New Roman" w:eastAsia="宋体" w:cs="Times New Roman"/>
                <w:sz w:val="21"/>
                <w:szCs w:val="24"/>
                <w:lang w:val="en-US" w:eastAsia="zh-CN" w:bidi="ar-SA"/>
              </w:rPr>
              <w:t>教学态度</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ascii="Times New Roman" w:hAnsi="Times New Roman" w:eastAsia="宋体" w:cs="Times New Roman"/>
                <w:sz w:val="21"/>
                <w:szCs w:val="24"/>
                <w:lang w:val="en-US" w:eastAsia="zh-CN" w:bidi="ar-SA"/>
              </w:rPr>
              <w:t>教学内容</w:t>
            </w:r>
          </w:p>
        </w:tc>
        <w:tc>
          <w:tcPr>
            <w:tcW w:w="431"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ascii="Times New Roman" w:hAnsi="Times New Roman" w:eastAsia="宋体" w:cs="Times New Roman"/>
                <w:sz w:val="21"/>
                <w:szCs w:val="24"/>
                <w:lang w:val="en-US" w:eastAsia="zh-CN" w:bidi="ar-SA"/>
              </w:rPr>
              <w:t>教学方法</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ascii="Times New Roman" w:hAnsi="Times New Roman" w:eastAsia="宋体" w:cs="Times New Roman"/>
                <w:sz w:val="21"/>
                <w:szCs w:val="24"/>
                <w:lang w:val="en-US" w:eastAsia="zh-CN" w:bidi="ar-SA"/>
              </w:rPr>
              <w:t>教学效果</w:t>
            </w:r>
          </w:p>
        </w:tc>
        <w:tc>
          <w:tcPr>
            <w:tcW w:w="829"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ascii="Times New Roman" w:hAnsi="Times New Roman" w:eastAsia="宋体" w:cs="Times New Roman"/>
                <w:sz w:val="21"/>
                <w:szCs w:val="24"/>
                <w:lang w:val="en-US" w:eastAsia="zh-CN" w:bidi="ar-SA"/>
              </w:rPr>
              <w:t>课程平均值</w:t>
            </w:r>
          </w:p>
        </w:tc>
        <w:tc>
          <w:tcPr>
            <w:tcW w:w="549"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ascii="Times New Roman" w:hAnsi="Times New Roman" w:eastAsia="宋体" w:cs="Times New Roman"/>
                <w:sz w:val="21"/>
                <w:szCs w:val="24"/>
                <w:lang w:val="en-US" w:eastAsia="zh-CN" w:bidi="ar-SA"/>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48" w:type="pct"/>
            <w:vMerge w:val="restart"/>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ascii="Times New Roman" w:hAnsi="Times New Roman" w:eastAsia="宋体" w:cs="Times New Roman"/>
                <w:sz w:val="21"/>
                <w:szCs w:val="24"/>
                <w:lang w:val="en-US" w:eastAsia="zh-CN" w:bidi="ar-SA"/>
              </w:rPr>
              <w:t>公共课</w:t>
            </w:r>
          </w:p>
        </w:tc>
        <w:tc>
          <w:tcPr>
            <w:tcW w:w="1331" w:type="pct"/>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ascii="Times New Roman" w:hAnsi="Times New Roman" w:eastAsia="宋体" w:cs="Times New Roman"/>
                <w:sz w:val="21"/>
                <w:szCs w:val="24"/>
                <w:lang w:val="en-US" w:eastAsia="zh-CN" w:bidi="ar-SA"/>
              </w:rPr>
              <w:t>英语一</w:t>
            </w:r>
          </w:p>
        </w:tc>
        <w:tc>
          <w:tcPr>
            <w:tcW w:w="45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95.38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91.15 </w:t>
            </w:r>
          </w:p>
        </w:tc>
        <w:tc>
          <w:tcPr>
            <w:tcW w:w="431"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88.85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90 </w:t>
            </w:r>
          </w:p>
        </w:tc>
        <w:tc>
          <w:tcPr>
            <w:tcW w:w="829"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91.35 </w:t>
            </w:r>
          </w:p>
        </w:tc>
        <w:tc>
          <w:tcPr>
            <w:tcW w:w="549" w:type="pct"/>
            <w:gridSpan w:val="2"/>
            <w:vMerge w:val="restart"/>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98.16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48"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c>
          <w:tcPr>
            <w:tcW w:w="1331" w:type="pct"/>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新时代中国特色社会主义理论与实践</w:t>
            </w:r>
          </w:p>
        </w:tc>
        <w:tc>
          <w:tcPr>
            <w:tcW w:w="45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94.80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96 </w:t>
            </w:r>
          </w:p>
        </w:tc>
        <w:tc>
          <w:tcPr>
            <w:tcW w:w="431"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92.80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93.20 </w:t>
            </w:r>
          </w:p>
        </w:tc>
        <w:tc>
          <w:tcPr>
            <w:tcW w:w="829"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94.20 </w:t>
            </w:r>
          </w:p>
        </w:tc>
        <w:tc>
          <w:tcPr>
            <w:tcW w:w="549" w:type="pct"/>
            <w:gridSpan w:val="2"/>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48" w:type="pct"/>
            <w:vMerge w:val="restart"/>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ascii="Times New Roman" w:hAnsi="Times New Roman" w:eastAsia="宋体" w:cs="Times New Roman"/>
                <w:sz w:val="21"/>
                <w:szCs w:val="24"/>
                <w:lang w:val="en-US" w:eastAsia="zh-CN" w:bidi="ar-SA"/>
              </w:rPr>
              <w:t>经济学</w:t>
            </w:r>
          </w:p>
        </w:tc>
        <w:tc>
          <w:tcPr>
            <w:tcW w:w="1331" w:type="pct"/>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发展经济学</w:t>
            </w:r>
          </w:p>
        </w:tc>
        <w:tc>
          <w:tcPr>
            <w:tcW w:w="45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98.89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98.89 </w:t>
            </w:r>
          </w:p>
        </w:tc>
        <w:tc>
          <w:tcPr>
            <w:tcW w:w="431"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98.89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98.89 </w:t>
            </w:r>
          </w:p>
        </w:tc>
        <w:tc>
          <w:tcPr>
            <w:tcW w:w="829"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98.89 </w:t>
            </w:r>
          </w:p>
        </w:tc>
        <w:tc>
          <w:tcPr>
            <w:tcW w:w="549" w:type="pct"/>
            <w:gridSpan w:val="2"/>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48"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c>
          <w:tcPr>
            <w:tcW w:w="1331" w:type="pct"/>
            <w:noWrap w:val="0"/>
            <w:vAlign w:val="center"/>
          </w:tcPr>
          <w:p>
            <w:pPr>
              <w:widowControl w:val="0"/>
              <w:spacing w:line="240" w:lineRule="auto"/>
              <w:ind w:firstLine="0" w:firstLineChars="0"/>
              <w:jc w:val="center"/>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1"/>
                <w:szCs w:val="24"/>
                <w:lang w:val="en-US" w:eastAsia="zh-CN" w:bidi="ar-SA"/>
              </w:rPr>
              <w:t>区域发展与产业集聚</w:t>
            </w:r>
          </w:p>
        </w:tc>
        <w:tc>
          <w:tcPr>
            <w:tcW w:w="450" w:type="pct"/>
            <w:gridSpan w:val="2"/>
            <w:noWrap w:val="0"/>
            <w:vAlign w:val="center"/>
          </w:tcPr>
          <w:p>
            <w:pPr>
              <w:widowControl w:val="0"/>
              <w:spacing w:line="240" w:lineRule="auto"/>
              <w:ind w:firstLine="0" w:firstLineChars="0"/>
              <w:jc w:val="center"/>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1"/>
                <w:szCs w:val="24"/>
                <w:lang w:val="en-US" w:eastAsia="zh-CN" w:bidi="ar-SA"/>
              </w:rPr>
              <w:t xml:space="preserve">95.71 </w:t>
            </w:r>
          </w:p>
        </w:tc>
        <w:tc>
          <w:tcPr>
            <w:tcW w:w="430" w:type="pct"/>
            <w:gridSpan w:val="2"/>
            <w:noWrap w:val="0"/>
            <w:vAlign w:val="center"/>
          </w:tcPr>
          <w:p>
            <w:pPr>
              <w:widowControl w:val="0"/>
              <w:spacing w:line="240" w:lineRule="auto"/>
              <w:ind w:firstLine="0" w:firstLineChars="0"/>
              <w:jc w:val="center"/>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1"/>
                <w:szCs w:val="24"/>
                <w:lang w:val="en-US" w:eastAsia="zh-CN" w:bidi="ar-SA"/>
              </w:rPr>
              <w:t xml:space="preserve">95.71 </w:t>
            </w:r>
          </w:p>
        </w:tc>
        <w:tc>
          <w:tcPr>
            <w:tcW w:w="431" w:type="pct"/>
            <w:gridSpan w:val="2"/>
            <w:noWrap w:val="0"/>
            <w:vAlign w:val="center"/>
          </w:tcPr>
          <w:p>
            <w:pPr>
              <w:widowControl w:val="0"/>
              <w:spacing w:line="240" w:lineRule="auto"/>
              <w:ind w:firstLine="0" w:firstLineChars="0"/>
              <w:jc w:val="center"/>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1"/>
                <w:szCs w:val="24"/>
                <w:lang w:val="en-US" w:eastAsia="zh-CN" w:bidi="ar-SA"/>
              </w:rPr>
              <w:t xml:space="preserve">95.71 </w:t>
            </w:r>
          </w:p>
        </w:tc>
        <w:tc>
          <w:tcPr>
            <w:tcW w:w="430" w:type="pct"/>
            <w:gridSpan w:val="2"/>
            <w:noWrap w:val="0"/>
            <w:vAlign w:val="center"/>
          </w:tcPr>
          <w:p>
            <w:pPr>
              <w:widowControl w:val="0"/>
              <w:spacing w:line="240" w:lineRule="auto"/>
              <w:ind w:firstLine="0" w:firstLineChars="0"/>
              <w:jc w:val="center"/>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1"/>
                <w:szCs w:val="24"/>
                <w:lang w:val="en-US" w:eastAsia="zh-CN" w:bidi="ar-SA"/>
              </w:rPr>
              <w:t xml:space="preserve">95.71 </w:t>
            </w:r>
          </w:p>
        </w:tc>
        <w:tc>
          <w:tcPr>
            <w:tcW w:w="829" w:type="pct"/>
            <w:gridSpan w:val="2"/>
            <w:noWrap w:val="0"/>
            <w:vAlign w:val="center"/>
          </w:tcPr>
          <w:p>
            <w:pPr>
              <w:widowControl w:val="0"/>
              <w:spacing w:line="240" w:lineRule="auto"/>
              <w:ind w:firstLine="0" w:firstLineChars="0"/>
              <w:jc w:val="center"/>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1"/>
                <w:szCs w:val="24"/>
                <w:lang w:val="en-US" w:eastAsia="zh-CN" w:bidi="ar-SA"/>
              </w:rPr>
              <w:t xml:space="preserve">95.71 </w:t>
            </w:r>
          </w:p>
        </w:tc>
        <w:tc>
          <w:tcPr>
            <w:tcW w:w="549" w:type="pct"/>
            <w:gridSpan w:val="2"/>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48"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c>
          <w:tcPr>
            <w:tcW w:w="1331" w:type="pct"/>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国际贸易</w:t>
            </w:r>
          </w:p>
        </w:tc>
        <w:tc>
          <w:tcPr>
            <w:tcW w:w="45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98.57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97.14 </w:t>
            </w:r>
          </w:p>
        </w:tc>
        <w:tc>
          <w:tcPr>
            <w:tcW w:w="431"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98.57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97.14 </w:t>
            </w:r>
          </w:p>
        </w:tc>
        <w:tc>
          <w:tcPr>
            <w:tcW w:w="829"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97.86 </w:t>
            </w:r>
          </w:p>
        </w:tc>
        <w:tc>
          <w:tcPr>
            <w:tcW w:w="549" w:type="pct"/>
            <w:gridSpan w:val="2"/>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48"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c>
          <w:tcPr>
            <w:tcW w:w="1331" w:type="pct"/>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论文写作指导</w:t>
            </w:r>
          </w:p>
        </w:tc>
        <w:tc>
          <w:tcPr>
            <w:tcW w:w="45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97.67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96.33 </w:t>
            </w:r>
          </w:p>
        </w:tc>
        <w:tc>
          <w:tcPr>
            <w:tcW w:w="431"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95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94 </w:t>
            </w:r>
          </w:p>
        </w:tc>
        <w:tc>
          <w:tcPr>
            <w:tcW w:w="829"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95.75 </w:t>
            </w:r>
          </w:p>
        </w:tc>
        <w:tc>
          <w:tcPr>
            <w:tcW w:w="549" w:type="pct"/>
            <w:gridSpan w:val="2"/>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48"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c>
          <w:tcPr>
            <w:tcW w:w="1331" w:type="pct"/>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计量经济学</w:t>
            </w:r>
          </w:p>
        </w:tc>
        <w:tc>
          <w:tcPr>
            <w:tcW w:w="45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98.67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96.67 </w:t>
            </w:r>
          </w:p>
        </w:tc>
        <w:tc>
          <w:tcPr>
            <w:tcW w:w="431"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96.67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95.33 </w:t>
            </w:r>
          </w:p>
        </w:tc>
        <w:tc>
          <w:tcPr>
            <w:tcW w:w="829"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96.83 </w:t>
            </w:r>
          </w:p>
        </w:tc>
        <w:tc>
          <w:tcPr>
            <w:tcW w:w="549" w:type="pct"/>
            <w:gridSpan w:val="2"/>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48"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c>
          <w:tcPr>
            <w:tcW w:w="1331" w:type="pct"/>
            <w:noWrap w:val="0"/>
            <w:vAlign w:val="center"/>
          </w:tcPr>
          <w:p>
            <w:pPr>
              <w:widowControl w:val="0"/>
              <w:spacing w:line="240" w:lineRule="auto"/>
              <w:ind w:firstLine="0" w:firstLineChars="0"/>
              <w:jc w:val="center"/>
              <w:rPr>
                <w:rFonts w:hint="eastAsia"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中国特色社会主义</w:t>
            </w:r>
          </w:p>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政治经济学</w:t>
            </w:r>
          </w:p>
        </w:tc>
        <w:tc>
          <w:tcPr>
            <w:tcW w:w="45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431"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829"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549" w:type="pct"/>
            <w:gridSpan w:val="2"/>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48"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c>
          <w:tcPr>
            <w:tcW w:w="1331" w:type="pct"/>
            <w:noWrap w:val="0"/>
            <w:vAlign w:val="center"/>
          </w:tcPr>
          <w:p>
            <w:pPr>
              <w:widowControl w:val="0"/>
              <w:spacing w:line="240" w:lineRule="auto"/>
              <w:ind w:firstLine="0" w:firstLineChars="0"/>
              <w:jc w:val="center"/>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1"/>
                <w:szCs w:val="24"/>
                <w:lang w:val="en-US" w:eastAsia="zh-CN" w:bidi="ar-SA"/>
              </w:rPr>
              <w:t>区域分析理论与实践</w:t>
            </w:r>
          </w:p>
        </w:tc>
        <w:tc>
          <w:tcPr>
            <w:tcW w:w="450" w:type="pct"/>
            <w:gridSpan w:val="2"/>
            <w:noWrap w:val="0"/>
            <w:vAlign w:val="center"/>
          </w:tcPr>
          <w:p>
            <w:pPr>
              <w:widowControl w:val="0"/>
              <w:spacing w:line="240" w:lineRule="auto"/>
              <w:ind w:firstLine="0" w:firstLineChars="0"/>
              <w:jc w:val="center"/>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1"/>
                <w:szCs w:val="24"/>
                <w:lang w:val="en-US" w:eastAsia="zh-CN" w:bidi="ar-SA"/>
              </w:rPr>
              <w:t xml:space="preserve">98.18 </w:t>
            </w:r>
          </w:p>
        </w:tc>
        <w:tc>
          <w:tcPr>
            <w:tcW w:w="430" w:type="pct"/>
            <w:gridSpan w:val="2"/>
            <w:noWrap w:val="0"/>
            <w:vAlign w:val="center"/>
          </w:tcPr>
          <w:p>
            <w:pPr>
              <w:widowControl w:val="0"/>
              <w:spacing w:line="240" w:lineRule="auto"/>
              <w:ind w:firstLine="0" w:firstLineChars="0"/>
              <w:jc w:val="center"/>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1"/>
                <w:szCs w:val="24"/>
                <w:lang w:val="en-US" w:eastAsia="zh-CN" w:bidi="ar-SA"/>
              </w:rPr>
              <w:t xml:space="preserve">98.18 </w:t>
            </w:r>
          </w:p>
        </w:tc>
        <w:tc>
          <w:tcPr>
            <w:tcW w:w="431" w:type="pct"/>
            <w:gridSpan w:val="2"/>
            <w:noWrap w:val="0"/>
            <w:vAlign w:val="center"/>
          </w:tcPr>
          <w:p>
            <w:pPr>
              <w:widowControl w:val="0"/>
              <w:spacing w:line="240" w:lineRule="auto"/>
              <w:ind w:firstLine="0" w:firstLineChars="0"/>
              <w:jc w:val="center"/>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1"/>
                <w:szCs w:val="24"/>
                <w:lang w:val="en-US" w:eastAsia="zh-CN" w:bidi="ar-SA"/>
              </w:rPr>
              <w:t xml:space="preserve">97.27 </w:t>
            </w:r>
          </w:p>
        </w:tc>
        <w:tc>
          <w:tcPr>
            <w:tcW w:w="430" w:type="pct"/>
            <w:gridSpan w:val="2"/>
            <w:noWrap w:val="0"/>
            <w:vAlign w:val="center"/>
          </w:tcPr>
          <w:p>
            <w:pPr>
              <w:widowControl w:val="0"/>
              <w:spacing w:line="240" w:lineRule="auto"/>
              <w:ind w:firstLine="0" w:firstLineChars="0"/>
              <w:jc w:val="center"/>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1"/>
                <w:szCs w:val="24"/>
                <w:lang w:val="en-US" w:eastAsia="zh-CN" w:bidi="ar-SA"/>
              </w:rPr>
              <w:t xml:space="preserve">97.27 </w:t>
            </w:r>
          </w:p>
        </w:tc>
        <w:tc>
          <w:tcPr>
            <w:tcW w:w="829" w:type="pct"/>
            <w:gridSpan w:val="2"/>
            <w:noWrap w:val="0"/>
            <w:vAlign w:val="center"/>
          </w:tcPr>
          <w:p>
            <w:pPr>
              <w:widowControl w:val="0"/>
              <w:spacing w:line="240" w:lineRule="auto"/>
              <w:ind w:firstLine="0" w:firstLineChars="0"/>
              <w:jc w:val="center"/>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1"/>
                <w:szCs w:val="24"/>
                <w:lang w:val="en-US" w:eastAsia="zh-CN" w:bidi="ar-SA"/>
              </w:rPr>
              <w:t xml:space="preserve">97.73 </w:t>
            </w:r>
          </w:p>
        </w:tc>
        <w:tc>
          <w:tcPr>
            <w:tcW w:w="549" w:type="pct"/>
            <w:gridSpan w:val="2"/>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48"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c>
          <w:tcPr>
            <w:tcW w:w="1331" w:type="pct"/>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创新经济学</w:t>
            </w:r>
          </w:p>
        </w:tc>
        <w:tc>
          <w:tcPr>
            <w:tcW w:w="45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431"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829"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549" w:type="pct"/>
            <w:gridSpan w:val="2"/>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48"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c>
          <w:tcPr>
            <w:tcW w:w="1331" w:type="pct"/>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公共经济学</w:t>
            </w:r>
          </w:p>
        </w:tc>
        <w:tc>
          <w:tcPr>
            <w:tcW w:w="45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98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98 </w:t>
            </w:r>
          </w:p>
        </w:tc>
        <w:tc>
          <w:tcPr>
            <w:tcW w:w="431"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98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98 </w:t>
            </w:r>
          </w:p>
        </w:tc>
        <w:tc>
          <w:tcPr>
            <w:tcW w:w="829"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98 </w:t>
            </w:r>
          </w:p>
        </w:tc>
        <w:tc>
          <w:tcPr>
            <w:tcW w:w="549" w:type="pct"/>
            <w:gridSpan w:val="2"/>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48"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c>
          <w:tcPr>
            <w:tcW w:w="1331" w:type="pct"/>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产业经济学</w:t>
            </w:r>
          </w:p>
        </w:tc>
        <w:tc>
          <w:tcPr>
            <w:tcW w:w="45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97.14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94.29 </w:t>
            </w:r>
          </w:p>
        </w:tc>
        <w:tc>
          <w:tcPr>
            <w:tcW w:w="431"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95.71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94.29 </w:t>
            </w:r>
          </w:p>
        </w:tc>
        <w:tc>
          <w:tcPr>
            <w:tcW w:w="829"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95.36 </w:t>
            </w:r>
          </w:p>
        </w:tc>
        <w:tc>
          <w:tcPr>
            <w:tcW w:w="549" w:type="pct"/>
            <w:gridSpan w:val="2"/>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48"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c>
          <w:tcPr>
            <w:tcW w:w="1331" w:type="pct"/>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环境政策学</w:t>
            </w:r>
          </w:p>
        </w:tc>
        <w:tc>
          <w:tcPr>
            <w:tcW w:w="45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96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94 </w:t>
            </w:r>
          </w:p>
        </w:tc>
        <w:tc>
          <w:tcPr>
            <w:tcW w:w="431"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92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94 </w:t>
            </w:r>
          </w:p>
        </w:tc>
        <w:tc>
          <w:tcPr>
            <w:tcW w:w="829"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94 </w:t>
            </w:r>
          </w:p>
        </w:tc>
        <w:tc>
          <w:tcPr>
            <w:tcW w:w="549" w:type="pct"/>
            <w:gridSpan w:val="2"/>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48"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c>
          <w:tcPr>
            <w:tcW w:w="1331" w:type="pct"/>
            <w:noWrap w:val="0"/>
            <w:vAlign w:val="center"/>
          </w:tcPr>
          <w:p>
            <w:pPr>
              <w:widowControl w:val="0"/>
              <w:spacing w:line="240" w:lineRule="auto"/>
              <w:ind w:firstLine="0" w:firstLineChars="0"/>
              <w:jc w:val="center"/>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1"/>
                <w:szCs w:val="24"/>
                <w:lang w:val="en-US" w:eastAsia="zh-CN" w:bidi="ar-SA"/>
              </w:rPr>
              <w:t>投资银行学</w:t>
            </w:r>
          </w:p>
        </w:tc>
        <w:tc>
          <w:tcPr>
            <w:tcW w:w="450" w:type="pct"/>
            <w:gridSpan w:val="2"/>
            <w:noWrap w:val="0"/>
            <w:vAlign w:val="center"/>
          </w:tcPr>
          <w:p>
            <w:pPr>
              <w:widowControl w:val="0"/>
              <w:spacing w:line="240" w:lineRule="auto"/>
              <w:ind w:firstLine="0" w:firstLineChars="0"/>
              <w:jc w:val="center"/>
              <w:rPr>
                <w:rFonts w:ascii="Times New Roman" w:hAnsi="Times New Roman" w:eastAsia="宋体" w:cs="Times New Roman"/>
                <w:sz w:val="22"/>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430" w:type="pct"/>
            <w:gridSpan w:val="2"/>
            <w:noWrap w:val="0"/>
            <w:vAlign w:val="center"/>
          </w:tcPr>
          <w:p>
            <w:pPr>
              <w:widowControl w:val="0"/>
              <w:spacing w:line="240" w:lineRule="auto"/>
              <w:ind w:firstLine="0" w:firstLineChars="0"/>
              <w:jc w:val="center"/>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431" w:type="pct"/>
            <w:gridSpan w:val="2"/>
            <w:noWrap w:val="0"/>
            <w:vAlign w:val="center"/>
          </w:tcPr>
          <w:p>
            <w:pPr>
              <w:widowControl w:val="0"/>
              <w:spacing w:line="240" w:lineRule="auto"/>
              <w:ind w:firstLine="0" w:firstLineChars="0"/>
              <w:jc w:val="center"/>
              <w:rPr>
                <w:rFonts w:ascii="Times New Roman" w:hAnsi="Times New Roman" w:eastAsia="宋体" w:cs="Times New Roman"/>
                <w:sz w:val="22"/>
                <w:szCs w:val="24"/>
                <w:lang w:val="en-US" w:eastAsia="zh-CN" w:bidi="ar-SA"/>
              </w:rPr>
            </w:pPr>
            <w:r>
              <w:rPr>
                <w:rFonts w:hint="eastAsia" w:ascii="Times New Roman" w:hAnsi="Times New Roman" w:eastAsia="宋体" w:cs="Times New Roman"/>
                <w:sz w:val="21"/>
                <w:szCs w:val="24"/>
                <w:lang w:val="en-US" w:eastAsia="zh-CN" w:bidi="ar-SA"/>
              </w:rPr>
              <w:t xml:space="preserve">98.57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2"/>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829" w:type="pct"/>
            <w:gridSpan w:val="2"/>
            <w:noWrap w:val="0"/>
            <w:vAlign w:val="center"/>
          </w:tcPr>
          <w:p>
            <w:pPr>
              <w:widowControl w:val="0"/>
              <w:spacing w:line="240" w:lineRule="auto"/>
              <w:ind w:firstLine="0" w:firstLineChars="0"/>
              <w:jc w:val="center"/>
              <w:rPr>
                <w:rFonts w:ascii="Times New Roman" w:hAnsi="Times New Roman" w:eastAsia="宋体" w:cs="Times New Roman"/>
                <w:sz w:val="22"/>
                <w:szCs w:val="24"/>
                <w:lang w:val="en-US" w:eastAsia="zh-CN" w:bidi="ar-SA"/>
              </w:rPr>
            </w:pPr>
            <w:r>
              <w:rPr>
                <w:rFonts w:hint="eastAsia" w:ascii="Times New Roman" w:hAnsi="Times New Roman" w:eastAsia="宋体" w:cs="Times New Roman"/>
                <w:sz w:val="21"/>
                <w:szCs w:val="24"/>
                <w:lang w:val="en-US" w:eastAsia="zh-CN" w:bidi="ar-SA"/>
              </w:rPr>
              <w:t xml:space="preserve">99.64 </w:t>
            </w:r>
          </w:p>
        </w:tc>
        <w:tc>
          <w:tcPr>
            <w:tcW w:w="549" w:type="pct"/>
            <w:gridSpan w:val="2"/>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548" w:type="pct"/>
            <w:vMerge w:val="restart"/>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ascii="Times New Roman" w:hAnsi="Times New Roman" w:eastAsia="宋体" w:cs="Times New Roman"/>
                <w:sz w:val="21"/>
                <w:szCs w:val="24"/>
                <w:lang w:val="en-US" w:eastAsia="zh-CN" w:bidi="ar-SA"/>
              </w:rPr>
              <w:t>社会学</w:t>
            </w:r>
          </w:p>
        </w:tc>
        <w:tc>
          <w:tcPr>
            <w:tcW w:w="1331" w:type="pct"/>
            <w:noWrap w:val="0"/>
            <w:vAlign w:val="center"/>
          </w:tcPr>
          <w:p>
            <w:pPr>
              <w:widowControl w:val="0"/>
              <w:spacing w:line="240" w:lineRule="auto"/>
              <w:ind w:firstLine="0" w:firstLineChars="0"/>
              <w:jc w:val="center"/>
              <w:rPr>
                <w:rFonts w:hint="eastAsia"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人口学前沿专题</w:t>
            </w:r>
          </w:p>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（研二）</w:t>
            </w:r>
          </w:p>
        </w:tc>
        <w:tc>
          <w:tcPr>
            <w:tcW w:w="45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431"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829"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549" w:type="pct"/>
            <w:gridSpan w:val="2"/>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48"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c>
          <w:tcPr>
            <w:tcW w:w="1331" w:type="pct"/>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社会学经典原著选读</w:t>
            </w:r>
          </w:p>
        </w:tc>
        <w:tc>
          <w:tcPr>
            <w:tcW w:w="45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97.50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95 </w:t>
            </w:r>
          </w:p>
        </w:tc>
        <w:tc>
          <w:tcPr>
            <w:tcW w:w="431"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98.75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97.50 </w:t>
            </w:r>
          </w:p>
        </w:tc>
        <w:tc>
          <w:tcPr>
            <w:tcW w:w="829"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97.19 </w:t>
            </w:r>
          </w:p>
        </w:tc>
        <w:tc>
          <w:tcPr>
            <w:tcW w:w="549" w:type="pct"/>
            <w:gridSpan w:val="2"/>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48"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c>
          <w:tcPr>
            <w:tcW w:w="1331" w:type="pct"/>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质性研究</w:t>
            </w:r>
          </w:p>
        </w:tc>
        <w:tc>
          <w:tcPr>
            <w:tcW w:w="45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431"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829"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549" w:type="pct"/>
            <w:gridSpan w:val="2"/>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48"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c>
          <w:tcPr>
            <w:tcW w:w="1331" w:type="pct"/>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移民社会学</w:t>
            </w:r>
          </w:p>
        </w:tc>
        <w:tc>
          <w:tcPr>
            <w:tcW w:w="45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98.75 </w:t>
            </w:r>
          </w:p>
        </w:tc>
        <w:tc>
          <w:tcPr>
            <w:tcW w:w="431"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98.75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98.75 </w:t>
            </w:r>
          </w:p>
        </w:tc>
        <w:tc>
          <w:tcPr>
            <w:tcW w:w="829"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99.06 </w:t>
            </w:r>
          </w:p>
        </w:tc>
        <w:tc>
          <w:tcPr>
            <w:tcW w:w="549" w:type="pct"/>
            <w:gridSpan w:val="2"/>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48"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c>
          <w:tcPr>
            <w:tcW w:w="1331" w:type="pct"/>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学术论文写作</w:t>
            </w:r>
          </w:p>
        </w:tc>
        <w:tc>
          <w:tcPr>
            <w:tcW w:w="45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99.17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98.33 </w:t>
            </w:r>
          </w:p>
        </w:tc>
        <w:tc>
          <w:tcPr>
            <w:tcW w:w="431"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99.17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98.33 </w:t>
            </w:r>
          </w:p>
        </w:tc>
        <w:tc>
          <w:tcPr>
            <w:tcW w:w="829"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98.75 </w:t>
            </w:r>
          </w:p>
        </w:tc>
        <w:tc>
          <w:tcPr>
            <w:tcW w:w="549" w:type="pct"/>
            <w:gridSpan w:val="2"/>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48"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c>
          <w:tcPr>
            <w:tcW w:w="1331" w:type="pct"/>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社会学前沿专题</w:t>
            </w:r>
          </w:p>
        </w:tc>
        <w:tc>
          <w:tcPr>
            <w:tcW w:w="45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431"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829"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549" w:type="pct"/>
            <w:gridSpan w:val="2"/>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48"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c>
          <w:tcPr>
            <w:tcW w:w="1331" w:type="pct"/>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民俗学概论</w:t>
            </w:r>
          </w:p>
        </w:tc>
        <w:tc>
          <w:tcPr>
            <w:tcW w:w="45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431"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829"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549" w:type="pct"/>
            <w:gridSpan w:val="2"/>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48" w:type="pct"/>
            <w:vMerge w:val="restart"/>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中国史</w:t>
            </w:r>
          </w:p>
        </w:tc>
        <w:tc>
          <w:tcPr>
            <w:tcW w:w="1331" w:type="pct"/>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史学前沿</w:t>
            </w:r>
          </w:p>
        </w:tc>
        <w:tc>
          <w:tcPr>
            <w:tcW w:w="45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431"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99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829"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99.75 </w:t>
            </w:r>
          </w:p>
        </w:tc>
        <w:tc>
          <w:tcPr>
            <w:tcW w:w="549" w:type="pct"/>
            <w:gridSpan w:val="2"/>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48"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c>
          <w:tcPr>
            <w:tcW w:w="1331" w:type="pct"/>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人口理论</w:t>
            </w:r>
          </w:p>
        </w:tc>
        <w:tc>
          <w:tcPr>
            <w:tcW w:w="45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431"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829"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549" w:type="pct"/>
            <w:gridSpan w:val="2"/>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48"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c>
          <w:tcPr>
            <w:tcW w:w="1331" w:type="pct"/>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中国近现代史</w:t>
            </w:r>
          </w:p>
        </w:tc>
        <w:tc>
          <w:tcPr>
            <w:tcW w:w="45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431"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98 </w:t>
            </w:r>
          </w:p>
        </w:tc>
        <w:tc>
          <w:tcPr>
            <w:tcW w:w="829"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99.50 </w:t>
            </w:r>
          </w:p>
        </w:tc>
        <w:tc>
          <w:tcPr>
            <w:tcW w:w="549" w:type="pct"/>
            <w:gridSpan w:val="2"/>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548"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c>
          <w:tcPr>
            <w:tcW w:w="1331" w:type="pct"/>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中国古代史概论</w:t>
            </w:r>
          </w:p>
        </w:tc>
        <w:tc>
          <w:tcPr>
            <w:tcW w:w="45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431"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829" w:type="pct"/>
            <w:gridSpan w:val="2"/>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549" w:type="pct"/>
            <w:gridSpan w:val="2"/>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48"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c>
          <w:tcPr>
            <w:tcW w:w="1331" w:type="pct"/>
            <w:noWrap w:val="0"/>
            <w:vAlign w:val="center"/>
          </w:tcPr>
          <w:p>
            <w:pPr>
              <w:widowControl w:val="0"/>
              <w:spacing w:line="240" w:lineRule="auto"/>
              <w:ind w:firstLine="0" w:firstLineChars="0"/>
              <w:jc w:val="center"/>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1"/>
                <w:szCs w:val="24"/>
                <w:lang w:val="en-US" w:eastAsia="zh-CN" w:bidi="ar-SA"/>
              </w:rPr>
              <w:t>明清史</w:t>
            </w:r>
          </w:p>
        </w:tc>
        <w:tc>
          <w:tcPr>
            <w:tcW w:w="450" w:type="pct"/>
            <w:gridSpan w:val="2"/>
            <w:noWrap w:val="0"/>
            <w:vAlign w:val="center"/>
          </w:tcPr>
          <w:p>
            <w:pPr>
              <w:widowControl w:val="0"/>
              <w:spacing w:line="240" w:lineRule="auto"/>
              <w:ind w:firstLine="0" w:firstLineChars="0"/>
              <w:jc w:val="center"/>
              <w:rPr>
                <w:rFonts w:ascii="Times New Roman" w:hAnsi="Times New Roman" w:eastAsia="宋体" w:cs="Times New Roman"/>
                <w:sz w:val="22"/>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2"/>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431" w:type="pct"/>
            <w:gridSpan w:val="2"/>
            <w:noWrap w:val="0"/>
            <w:vAlign w:val="center"/>
          </w:tcPr>
          <w:p>
            <w:pPr>
              <w:widowControl w:val="0"/>
              <w:spacing w:line="240" w:lineRule="auto"/>
              <w:ind w:firstLine="0" w:firstLineChars="0"/>
              <w:jc w:val="center"/>
              <w:rPr>
                <w:rFonts w:ascii="Times New Roman" w:hAnsi="Times New Roman" w:eastAsia="宋体" w:cs="Times New Roman"/>
                <w:sz w:val="22"/>
                <w:szCs w:val="24"/>
                <w:lang w:val="en-US" w:eastAsia="zh-CN" w:bidi="ar-SA"/>
              </w:rPr>
            </w:pPr>
            <w:r>
              <w:rPr>
                <w:rFonts w:hint="eastAsia" w:ascii="Times New Roman" w:hAnsi="Times New Roman" w:eastAsia="宋体" w:cs="Times New Roman"/>
                <w:sz w:val="21"/>
                <w:szCs w:val="24"/>
                <w:lang w:val="en-US" w:eastAsia="zh-CN" w:bidi="ar-SA"/>
              </w:rPr>
              <w:t xml:space="preserve">98.57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2"/>
                <w:szCs w:val="24"/>
                <w:lang w:val="en-US" w:eastAsia="zh-CN" w:bidi="ar-SA"/>
              </w:rPr>
            </w:pPr>
            <w:r>
              <w:rPr>
                <w:rFonts w:hint="eastAsia" w:ascii="Times New Roman" w:hAnsi="Times New Roman" w:eastAsia="宋体" w:cs="Times New Roman"/>
                <w:sz w:val="21"/>
                <w:szCs w:val="24"/>
                <w:lang w:val="en-US" w:eastAsia="zh-CN" w:bidi="ar-SA"/>
              </w:rPr>
              <w:t xml:space="preserve">98.57 </w:t>
            </w:r>
          </w:p>
        </w:tc>
        <w:tc>
          <w:tcPr>
            <w:tcW w:w="829" w:type="pct"/>
            <w:gridSpan w:val="2"/>
            <w:noWrap w:val="0"/>
            <w:vAlign w:val="center"/>
          </w:tcPr>
          <w:p>
            <w:pPr>
              <w:widowControl w:val="0"/>
              <w:spacing w:line="240" w:lineRule="auto"/>
              <w:ind w:firstLine="0" w:firstLineChars="0"/>
              <w:jc w:val="center"/>
              <w:rPr>
                <w:rFonts w:ascii="Times New Roman" w:hAnsi="Times New Roman" w:eastAsia="宋体" w:cs="Times New Roman"/>
                <w:sz w:val="22"/>
                <w:szCs w:val="24"/>
                <w:lang w:val="en-US" w:eastAsia="zh-CN" w:bidi="ar-SA"/>
              </w:rPr>
            </w:pPr>
            <w:r>
              <w:rPr>
                <w:rFonts w:hint="eastAsia" w:ascii="Times New Roman" w:hAnsi="Times New Roman" w:eastAsia="宋体" w:cs="Times New Roman"/>
                <w:sz w:val="21"/>
                <w:szCs w:val="24"/>
                <w:lang w:val="en-US" w:eastAsia="zh-CN" w:bidi="ar-SA"/>
              </w:rPr>
              <w:t xml:space="preserve">99.29 </w:t>
            </w:r>
          </w:p>
        </w:tc>
        <w:tc>
          <w:tcPr>
            <w:tcW w:w="549" w:type="pct"/>
            <w:gridSpan w:val="2"/>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548"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c>
          <w:tcPr>
            <w:tcW w:w="1331" w:type="pct"/>
            <w:noWrap w:val="0"/>
            <w:vAlign w:val="center"/>
          </w:tcPr>
          <w:p>
            <w:pPr>
              <w:widowControl w:val="0"/>
              <w:spacing w:line="240" w:lineRule="auto"/>
              <w:ind w:firstLine="0" w:firstLineChars="0"/>
              <w:jc w:val="center"/>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1"/>
                <w:szCs w:val="24"/>
                <w:lang w:val="en-US" w:eastAsia="zh-CN" w:bidi="ar-SA"/>
              </w:rPr>
              <w:t>中国史专业论文指导</w:t>
            </w:r>
          </w:p>
        </w:tc>
        <w:tc>
          <w:tcPr>
            <w:tcW w:w="450" w:type="pct"/>
            <w:gridSpan w:val="2"/>
            <w:noWrap w:val="0"/>
            <w:vAlign w:val="center"/>
          </w:tcPr>
          <w:p>
            <w:pPr>
              <w:widowControl w:val="0"/>
              <w:spacing w:line="240" w:lineRule="auto"/>
              <w:ind w:firstLine="0" w:firstLineChars="0"/>
              <w:jc w:val="center"/>
              <w:rPr>
                <w:rFonts w:ascii="Times New Roman" w:hAnsi="Times New Roman" w:eastAsia="宋体" w:cs="Times New Roman"/>
                <w:sz w:val="22"/>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2"/>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431" w:type="pct"/>
            <w:gridSpan w:val="2"/>
            <w:noWrap w:val="0"/>
            <w:vAlign w:val="center"/>
          </w:tcPr>
          <w:p>
            <w:pPr>
              <w:widowControl w:val="0"/>
              <w:spacing w:line="240" w:lineRule="auto"/>
              <w:ind w:firstLine="0" w:firstLineChars="0"/>
              <w:jc w:val="center"/>
              <w:rPr>
                <w:rFonts w:ascii="Times New Roman" w:hAnsi="Times New Roman" w:eastAsia="宋体" w:cs="Times New Roman"/>
                <w:sz w:val="22"/>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2"/>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829" w:type="pct"/>
            <w:gridSpan w:val="2"/>
            <w:noWrap w:val="0"/>
            <w:vAlign w:val="center"/>
          </w:tcPr>
          <w:p>
            <w:pPr>
              <w:widowControl w:val="0"/>
              <w:spacing w:line="240" w:lineRule="auto"/>
              <w:ind w:firstLine="0" w:firstLineChars="0"/>
              <w:jc w:val="center"/>
              <w:rPr>
                <w:rFonts w:ascii="Times New Roman" w:hAnsi="Times New Roman" w:eastAsia="宋体" w:cs="Times New Roman"/>
                <w:sz w:val="22"/>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549" w:type="pct"/>
            <w:gridSpan w:val="2"/>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548" w:type="pct"/>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c>
          <w:tcPr>
            <w:tcW w:w="1331" w:type="pct"/>
            <w:noWrap w:val="0"/>
            <w:vAlign w:val="center"/>
          </w:tcPr>
          <w:p>
            <w:pPr>
              <w:widowControl w:val="0"/>
              <w:spacing w:line="240" w:lineRule="auto"/>
              <w:ind w:firstLine="0" w:firstLineChars="0"/>
              <w:jc w:val="center"/>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1"/>
                <w:szCs w:val="24"/>
                <w:lang w:val="en-US" w:eastAsia="zh-CN" w:bidi="ar-SA"/>
              </w:rPr>
              <w:t>近代中外关系史</w:t>
            </w:r>
          </w:p>
        </w:tc>
        <w:tc>
          <w:tcPr>
            <w:tcW w:w="450" w:type="pct"/>
            <w:gridSpan w:val="2"/>
            <w:noWrap w:val="0"/>
            <w:vAlign w:val="center"/>
          </w:tcPr>
          <w:p>
            <w:pPr>
              <w:widowControl w:val="0"/>
              <w:spacing w:line="240" w:lineRule="auto"/>
              <w:ind w:firstLine="0" w:firstLineChars="0"/>
              <w:jc w:val="center"/>
              <w:rPr>
                <w:rFonts w:ascii="Times New Roman" w:hAnsi="Times New Roman" w:eastAsia="宋体" w:cs="Times New Roman"/>
                <w:sz w:val="22"/>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2"/>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431" w:type="pct"/>
            <w:gridSpan w:val="2"/>
            <w:noWrap w:val="0"/>
            <w:vAlign w:val="center"/>
          </w:tcPr>
          <w:p>
            <w:pPr>
              <w:widowControl w:val="0"/>
              <w:spacing w:line="240" w:lineRule="auto"/>
              <w:ind w:firstLine="0" w:firstLineChars="0"/>
              <w:jc w:val="center"/>
              <w:rPr>
                <w:rFonts w:ascii="Times New Roman" w:hAnsi="Times New Roman" w:eastAsia="宋体" w:cs="Times New Roman"/>
                <w:sz w:val="22"/>
                <w:szCs w:val="24"/>
                <w:lang w:val="en-US" w:eastAsia="zh-CN" w:bidi="ar-SA"/>
              </w:rPr>
            </w:pPr>
            <w:r>
              <w:rPr>
                <w:rFonts w:hint="eastAsia" w:ascii="Times New Roman" w:hAnsi="Times New Roman" w:eastAsia="宋体" w:cs="Times New Roman"/>
                <w:sz w:val="21"/>
                <w:szCs w:val="24"/>
                <w:lang w:val="en-US" w:eastAsia="zh-CN" w:bidi="ar-SA"/>
              </w:rPr>
              <w:t xml:space="preserve">100 </w:t>
            </w:r>
          </w:p>
        </w:tc>
        <w:tc>
          <w:tcPr>
            <w:tcW w:w="430" w:type="pct"/>
            <w:gridSpan w:val="2"/>
            <w:noWrap w:val="0"/>
            <w:vAlign w:val="center"/>
          </w:tcPr>
          <w:p>
            <w:pPr>
              <w:widowControl w:val="0"/>
              <w:spacing w:line="240" w:lineRule="auto"/>
              <w:ind w:firstLine="0" w:firstLineChars="0"/>
              <w:jc w:val="center"/>
              <w:rPr>
                <w:rFonts w:ascii="Times New Roman" w:hAnsi="Times New Roman" w:eastAsia="宋体" w:cs="Times New Roman"/>
                <w:sz w:val="22"/>
                <w:szCs w:val="24"/>
                <w:lang w:val="en-US" w:eastAsia="zh-CN" w:bidi="ar-SA"/>
              </w:rPr>
            </w:pPr>
            <w:r>
              <w:rPr>
                <w:rFonts w:hint="eastAsia" w:ascii="Times New Roman" w:hAnsi="Times New Roman" w:eastAsia="宋体" w:cs="Times New Roman"/>
                <w:sz w:val="21"/>
                <w:szCs w:val="24"/>
                <w:lang w:val="en-US" w:eastAsia="zh-CN" w:bidi="ar-SA"/>
              </w:rPr>
              <w:t xml:space="preserve">98 </w:t>
            </w:r>
          </w:p>
        </w:tc>
        <w:tc>
          <w:tcPr>
            <w:tcW w:w="829" w:type="pct"/>
            <w:gridSpan w:val="2"/>
            <w:noWrap w:val="0"/>
            <w:vAlign w:val="center"/>
          </w:tcPr>
          <w:p>
            <w:pPr>
              <w:widowControl w:val="0"/>
              <w:spacing w:line="240" w:lineRule="auto"/>
              <w:ind w:firstLine="0" w:firstLineChars="0"/>
              <w:jc w:val="center"/>
              <w:rPr>
                <w:rFonts w:ascii="Times New Roman" w:hAnsi="Times New Roman" w:eastAsia="宋体" w:cs="Times New Roman"/>
                <w:sz w:val="22"/>
                <w:szCs w:val="24"/>
                <w:lang w:val="en-US" w:eastAsia="zh-CN" w:bidi="ar-SA"/>
              </w:rPr>
            </w:pPr>
            <w:r>
              <w:rPr>
                <w:rFonts w:hint="eastAsia" w:ascii="Times New Roman" w:hAnsi="Times New Roman" w:eastAsia="宋体" w:cs="Times New Roman"/>
                <w:sz w:val="21"/>
                <w:szCs w:val="24"/>
                <w:lang w:val="en-US" w:eastAsia="zh-CN" w:bidi="ar-SA"/>
              </w:rPr>
              <w:t xml:space="preserve">99.50 </w:t>
            </w:r>
          </w:p>
        </w:tc>
        <w:tc>
          <w:tcPr>
            <w:tcW w:w="549" w:type="pct"/>
            <w:gridSpan w:val="2"/>
            <w:vMerge w:val="continue"/>
            <w:noWrap w:val="0"/>
            <w:vAlign w:val="center"/>
          </w:tcPr>
          <w:p>
            <w:pPr>
              <w:widowControl w:val="0"/>
              <w:spacing w:line="240" w:lineRule="auto"/>
              <w:ind w:firstLine="0" w:firstLineChars="0"/>
              <w:jc w:val="center"/>
              <w:rPr>
                <w:rFonts w:ascii="Times New Roman" w:hAnsi="Times New Roman" w:eastAsia="宋体" w:cs="Times New Roman"/>
                <w:sz w:val="21"/>
                <w:szCs w:val="24"/>
                <w:lang w:val="en-US" w:eastAsia="zh-CN" w:bidi="ar-SA"/>
              </w:rPr>
            </w:pPr>
          </w:p>
        </w:tc>
      </w:tr>
    </w:tbl>
    <w:p>
      <w:pPr>
        <w:spacing w:before="157" w:beforeLines="50" w:line="240" w:lineRule="auto"/>
        <w:ind w:firstLine="420"/>
        <w:rPr>
          <w:rFonts w:hint="eastAsia" w:ascii="楷体" w:hAnsi="楷体" w:eastAsia="楷体" w:cs="楷体"/>
          <w:sz w:val="21"/>
          <w:szCs w:val="21"/>
        </w:rPr>
      </w:pPr>
      <w:r>
        <w:rPr>
          <w:rFonts w:eastAsia="仿宋"/>
          <w:sz w:val="21"/>
          <w:szCs w:val="21"/>
        </w:rPr>
        <w:t>注：</w:t>
      </w:r>
      <w:r>
        <w:rPr>
          <w:rFonts w:hint="eastAsia" w:eastAsia="仿宋"/>
          <w:sz w:val="21"/>
          <w:szCs w:val="21"/>
        </w:rPr>
        <w:t>测评方法</w:t>
      </w:r>
      <w:r>
        <w:rPr>
          <w:rFonts w:hint="eastAsia" w:eastAsia="仿宋"/>
          <w:sz w:val="21"/>
          <w:szCs w:val="21"/>
          <w:lang w:val="en-US" w:eastAsia="zh-CN"/>
        </w:rPr>
        <w:t>为</w:t>
      </w:r>
      <w:r>
        <w:rPr>
          <w:rFonts w:hint="eastAsia" w:eastAsia="仿宋"/>
          <w:sz w:val="21"/>
          <w:szCs w:val="21"/>
        </w:rPr>
        <w:t>针对每门课程的四个指标（教学态度、教学内容、教学方法和教学效果）设定很满意、较满意、一般和不满意四个选项，四个选项分别取100%、90%、80%和60%的权重，根据学生评教分数算出每个指标的加权平均值。</w:t>
      </w:r>
    </w:p>
    <w:p>
      <w:pPr>
        <w:ind w:firstLine="560"/>
        <w:rPr>
          <w:rFonts w:hint="eastAsia" w:ascii="楷体" w:hAnsi="楷体" w:eastAsia="楷体" w:cs="楷体"/>
          <w:sz w:val="28"/>
          <w:szCs w:val="28"/>
        </w:rPr>
        <w:sectPr>
          <w:footerReference r:id="rId12" w:type="default"/>
          <w:footnotePr>
            <w:numFmt w:val="decimalEnclosedCircleChinese"/>
            <w:numRestart w:val="eachPage"/>
          </w:footnotePr>
          <w:pgSz w:w="11906" w:h="16838"/>
          <w:pgMar w:top="1440" w:right="1800" w:bottom="1440" w:left="1800" w:header="851" w:footer="935" w:gutter="0"/>
          <w:pgBorders>
            <w:top w:val="none" w:sz="0" w:space="0"/>
            <w:left w:val="none" w:sz="0" w:space="0"/>
            <w:bottom w:val="none" w:sz="0" w:space="0"/>
            <w:right w:val="none" w:sz="0" w:space="0"/>
          </w:pgBorders>
          <w:pgNumType w:start="1"/>
          <w:cols w:space="720" w:num="1"/>
          <w:docGrid w:type="lines" w:linePitch="312" w:charSpace="0"/>
        </w:sectPr>
      </w:pPr>
    </w:p>
    <w:p>
      <w:pPr>
        <w:pStyle w:val="6"/>
        <w:keepNext w:val="0"/>
        <w:keepLines w:val="0"/>
        <w:spacing w:beforeLines="0" w:after="157" w:afterLines="50" w:line="240" w:lineRule="auto"/>
        <w:rPr>
          <w:rFonts w:hint="default" w:ascii="Times New Roman" w:hAnsi="Times New Roman" w:eastAsia="宋体" w:cs="Times New Roman"/>
          <w:b/>
          <w:bCs w:val="0"/>
          <w:sz w:val="21"/>
        </w:rPr>
      </w:pPr>
      <w:r>
        <w:rPr>
          <w:rFonts w:hint="default" w:ascii="Times New Roman" w:hAnsi="Times New Roman" w:eastAsia="宋体" w:cs="Times New Roman"/>
          <w:b/>
          <w:bCs w:val="0"/>
          <w:sz w:val="21"/>
        </w:rPr>
        <w:t>表</w:t>
      </w:r>
      <w:r>
        <w:rPr>
          <w:rFonts w:hint="default" w:ascii="Times New Roman" w:hAnsi="Times New Roman" w:eastAsia="宋体" w:cs="Times New Roman"/>
          <w:b/>
          <w:bCs w:val="0"/>
          <w:sz w:val="21"/>
          <w:lang w:val="en-US" w:eastAsia="zh-CN"/>
        </w:rPr>
        <w:t>9</w:t>
      </w:r>
      <w:r>
        <w:rPr>
          <w:rFonts w:hint="default" w:ascii="Times New Roman" w:hAnsi="Times New Roman" w:eastAsia="宋体" w:cs="Times New Roman"/>
          <w:b/>
          <w:bCs w:val="0"/>
          <w:sz w:val="21"/>
        </w:rPr>
        <w:t xml:space="preserve">  202</w:t>
      </w:r>
      <w:r>
        <w:rPr>
          <w:rFonts w:hint="default" w:ascii="Times New Roman" w:hAnsi="Times New Roman" w:eastAsia="宋体" w:cs="Times New Roman"/>
          <w:b/>
          <w:bCs w:val="0"/>
          <w:sz w:val="21"/>
          <w:lang w:val="en-US" w:eastAsia="zh-CN"/>
        </w:rPr>
        <w:t>3</w:t>
      </w:r>
      <w:r>
        <w:rPr>
          <w:rFonts w:hint="default" w:ascii="Times New Roman" w:hAnsi="Times New Roman" w:eastAsia="宋体" w:cs="Times New Roman"/>
          <w:b/>
          <w:bCs w:val="0"/>
          <w:sz w:val="21"/>
        </w:rPr>
        <w:t>年春季学</w:t>
      </w:r>
      <w:r>
        <w:rPr>
          <w:rFonts w:hint="eastAsia" w:ascii="Times New Roman" w:hAnsi="Times New Roman" w:cs="Times New Roman"/>
          <w:b/>
          <w:bCs w:val="0"/>
          <w:sz w:val="21"/>
          <w:lang w:eastAsia="zh-CN"/>
        </w:rPr>
        <w:t>期</w:t>
      </w:r>
      <w:r>
        <w:rPr>
          <w:rFonts w:hint="default" w:ascii="Times New Roman" w:hAnsi="Times New Roman" w:eastAsia="宋体" w:cs="Times New Roman"/>
          <w:b/>
          <w:bCs w:val="0"/>
          <w:sz w:val="21"/>
        </w:rPr>
        <w:t>课程表</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2942"/>
        <w:gridCol w:w="1844"/>
        <w:gridCol w:w="2398"/>
        <w:gridCol w:w="2296"/>
        <w:gridCol w:w="1541"/>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50" w:type="pct"/>
            <w:vMerge w:val="restart"/>
            <w:shd w:val="clear" w:color="auto" w:fill="auto"/>
            <w:noWrap w:val="0"/>
            <w:vAlign w:val="center"/>
          </w:tcPr>
          <w:p>
            <w:pPr>
              <w:spacing w:line="240" w:lineRule="auto"/>
              <w:ind w:firstLine="0" w:firstLineChars="0"/>
              <w:jc w:val="center"/>
              <w:rPr>
                <w:rFonts w:hint="eastAsia" w:ascii="楷体_GB2312" w:hAnsi="楷体_GB2312" w:eastAsia="楷体_GB2312" w:cs="楷体_GB2312"/>
                <w:sz w:val="21"/>
                <w:szCs w:val="21"/>
              </w:rPr>
            </w:pPr>
          </w:p>
          <w:p>
            <w:pPr>
              <w:spacing w:line="240" w:lineRule="auto"/>
              <w:ind w:firstLine="0" w:firstLineChars="0"/>
              <w:jc w:val="center"/>
              <w:rPr>
                <w:rFonts w:hint="eastAsia" w:ascii="楷体_GB2312" w:hAnsi="楷体_GB2312" w:eastAsia="楷体_GB2312" w:cs="楷体_GB2312"/>
                <w:sz w:val="21"/>
                <w:szCs w:val="21"/>
              </w:rPr>
            </w:pPr>
          </w:p>
          <w:p>
            <w:pPr>
              <w:spacing w:line="240" w:lineRule="auto"/>
              <w:ind w:firstLine="0" w:firstLineChars="0"/>
              <w:jc w:val="center"/>
              <w:rPr>
                <w:rFonts w:hint="eastAsia" w:ascii="楷体_GB2312" w:hAnsi="楷体_GB2312" w:eastAsia="楷体_GB2312" w:cs="楷体_GB2312"/>
                <w:sz w:val="21"/>
                <w:szCs w:val="21"/>
              </w:rPr>
            </w:pPr>
          </w:p>
          <w:p>
            <w:pPr>
              <w:spacing w:line="240" w:lineRule="auto"/>
              <w:ind w:firstLine="0" w:firstLineChars="0"/>
              <w:jc w:val="center"/>
              <w:rPr>
                <w:rFonts w:hint="eastAsia" w:ascii="楷体_GB2312" w:hAnsi="楷体_GB2312" w:eastAsia="楷体_GB2312" w:cs="楷体_GB2312"/>
                <w:sz w:val="21"/>
                <w:szCs w:val="21"/>
                <w:lang w:val="en-US" w:eastAsia="zh-CN"/>
              </w:rPr>
            </w:pPr>
            <w:r>
              <w:rPr>
                <w:rFonts w:hint="eastAsia" w:ascii="楷体_GB2312" w:hAnsi="楷体_GB2312" w:eastAsia="楷体_GB2312" w:cs="楷体_GB2312"/>
                <w:sz w:val="21"/>
                <w:szCs w:val="21"/>
                <w:lang w:val="en-US" w:eastAsia="zh-CN"/>
              </w:rPr>
              <w:t>上</w:t>
            </w:r>
          </w:p>
          <w:p>
            <w:pPr>
              <w:pStyle w:val="20"/>
              <w:autoSpaceDE/>
              <w:autoSpaceDN/>
              <w:spacing w:line="240" w:lineRule="auto"/>
              <w:jc w:val="center"/>
              <w:rPr>
                <w:rFonts w:hint="eastAsia" w:ascii="楷体_GB2312" w:hAnsi="楷体_GB2312" w:eastAsia="楷体_GB2312" w:cs="楷体_GB2312"/>
                <w:lang w:eastAsia="zh-CN"/>
              </w:rPr>
            </w:pPr>
          </w:p>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午</w:t>
            </w:r>
          </w:p>
          <w:p>
            <w:pPr>
              <w:spacing w:line="240" w:lineRule="auto"/>
              <w:ind w:firstLine="0" w:firstLineChars="0"/>
              <w:jc w:val="center"/>
              <w:rPr>
                <w:rFonts w:hint="eastAsia" w:ascii="楷体_GB2312" w:hAnsi="楷体_GB2312" w:eastAsia="楷体_GB2312" w:cs="楷体_GB2312"/>
                <w:b/>
                <w:sz w:val="21"/>
                <w:szCs w:val="21"/>
              </w:rPr>
            </w:pPr>
          </w:p>
          <w:p>
            <w:pPr>
              <w:spacing w:line="240" w:lineRule="auto"/>
              <w:ind w:firstLine="0" w:firstLineChars="0"/>
              <w:jc w:val="center"/>
              <w:rPr>
                <w:rFonts w:hint="eastAsia" w:ascii="楷体_GB2312" w:hAnsi="楷体_GB2312" w:eastAsia="楷体_GB2312" w:cs="楷体_GB2312"/>
                <w:b/>
                <w:sz w:val="21"/>
                <w:szCs w:val="21"/>
              </w:rPr>
            </w:pPr>
          </w:p>
          <w:p>
            <w:pPr>
              <w:spacing w:line="240" w:lineRule="auto"/>
              <w:ind w:firstLine="0" w:firstLineChars="0"/>
              <w:jc w:val="center"/>
              <w:rPr>
                <w:rFonts w:hint="eastAsia" w:ascii="楷体_GB2312" w:hAnsi="楷体_GB2312" w:eastAsia="楷体_GB2312" w:cs="楷体_GB2312"/>
                <w:b/>
                <w:sz w:val="21"/>
                <w:szCs w:val="21"/>
              </w:rPr>
            </w:pPr>
          </w:p>
          <w:p>
            <w:pPr>
              <w:spacing w:line="240" w:lineRule="auto"/>
              <w:ind w:firstLine="0" w:firstLineChars="0"/>
              <w:jc w:val="center"/>
              <w:rPr>
                <w:rFonts w:hint="eastAsia" w:ascii="楷体_GB2312" w:hAnsi="楷体_GB2312" w:eastAsia="楷体_GB2312" w:cs="楷体_GB2312"/>
                <w:b/>
                <w:sz w:val="21"/>
                <w:szCs w:val="21"/>
              </w:rPr>
            </w:pPr>
          </w:p>
          <w:p>
            <w:pPr>
              <w:spacing w:line="240" w:lineRule="auto"/>
              <w:ind w:firstLine="0" w:firstLineChars="0"/>
              <w:jc w:val="center"/>
              <w:rPr>
                <w:rFonts w:hint="eastAsia" w:ascii="楷体_GB2312" w:hAnsi="楷体_GB2312" w:eastAsia="楷体_GB2312" w:cs="楷体_GB2312"/>
                <w:b/>
                <w:sz w:val="21"/>
                <w:szCs w:val="21"/>
              </w:rPr>
            </w:pPr>
          </w:p>
          <w:p>
            <w:pPr>
              <w:spacing w:line="240" w:lineRule="auto"/>
              <w:ind w:firstLine="0" w:firstLineChars="0"/>
              <w:jc w:val="center"/>
              <w:rPr>
                <w:rFonts w:hint="eastAsia" w:ascii="楷体_GB2312" w:hAnsi="楷体_GB2312" w:eastAsia="楷体_GB2312" w:cs="楷体_GB2312"/>
                <w:sz w:val="21"/>
                <w:szCs w:val="21"/>
              </w:rPr>
            </w:pPr>
          </w:p>
        </w:tc>
        <w:tc>
          <w:tcPr>
            <w:tcW w:w="1037" w:type="pct"/>
            <w:shd w:val="clear" w:color="auto" w:fill="FFFFFF"/>
            <w:noWrap w:val="0"/>
            <w:vAlign w:val="top"/>
          </w:tcPr>
          <w:p>
            <w:pPr>
              <w:spacing w:line="240" w:lineRule="auto"/>
              <w:ind w:firstLine="0" w:firstLineChars="0"/>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专业</w:t>
            </w:r>
          </w:p>
        </w:tc>
        <w:tc>
          <w:tcPr>
            <w:tcW w:w="650" w:type="pct"/>
            <w:shd w:val="clear" w:color="auto" w:fill="FFFFFF"/>
            <w:noWrap w:val="0"/>
            <w:vAlign w:val="top"/>
          </w:tcPr>
          <w:p>
            <w:pPr>
              <w:spacing w:line="240" w:lineRule="auto"/>
              <w:ind w:firstLine="0" w:firstLineChars="0"/>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星期一</w:t>
            </w:r>
          </w:p>
        </w:tc>
        <w:tc>
          <w:tcPr>
            <w:tcW w:w="845" w:type="pct"/>
            <w:shd w:val="clear" w:color="auto" w:fill="FFFFFF"/>
            <w:noWrap w:val="0"/>
            <w:vAlign w:val="top"/>
          </w:tcPr>
          <w:p>
            <w:pPr>
              <w:spacing w:line="240" w:lineRule="auto"/>
              <w:ind w:firstLine="0" w:firstLineChars="0"/>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星期二</w:t>
            </w:r>
          </w:p>
        </w:tc>
        <w:tc>
          <w:tcPr>
            <w:tcW w:w="809" w:type="pct"/>
            <w:shd w:val="clear" w:color="auto" w:fill="FFFFFF"/>
            <w:noWrap w:val="0"/>
            <w:vAlign w:val="top"/>
          </w:tcPr>
          <w:p>
            <w:pPr>
              <w:spacing w:line="240" w:lineRule="auto"/>
              <w:ind w:firstLine="0" w:firstLineChars="0"/>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星期三</w:t>
            </w:r>
          </w:p>
        </w:tc>
        <w:tc>
          <w:tcPr>
            <w:tcW w:w="543" w:type="pct"/>
            <w:shd w:val="clear" w:color="auto" w:fill="FFFFFF"/>
            <w:noWrap w:val="0"/>
            <w:vAlign w:val="top"/>
          </w:tcPr>
          <w:p>
            <w:pPr>
              <w:spacing w:line="240" w:lineRule="auto"/>
              <w:ind w:firstLine="0" w:firstLineChars="0"/>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星期四</w:t>
            </w:r>
          </w:p>
        </w:tc>
        <w:tc>
          <w:tcPr>
            <w:tcW w:w="961" w:type="pct"/>
            <w:shd w:val="clear" w:color="auto" w:fill="FFFFFF"/>
            <w:noWrap w:val="0"/>
            <w:vAlign w:val="top"/>
          </w:tcPr>
          <w:p>
            <w:pPr>
              <w:spacing w:line="240" w:lineRule="auto"/>
              <w:ind w:firstLine="0" w:firstLineChars="0"/>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星期五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50" w:type="pct"/>
            <w:vMerge w:val="continue"/>
            <w:shd w:val="clear" w:color="auto" w:fill="auto"/>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1037"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政治经济学</w:t>
            </w:r>
          </w:p>
        </w:tc>
        <w:tc>
          <w:tcPr>
            <w:tcW w:w="650" w:type="pct"/>
            <w:vMerge w:val="restart"/>
            <w:shd w:val="clear" w:color="auto" w:fill="FFFFFF"/>
            <w:noWrap w:val="0"/>
            <w:vAlign w:val="center"/>
          </w:tcPr>
          <w:p>
            <w:pPr>
              <w:spacing w:line="240" w:lineRule="auto"/>
              <w:ind w:firstLine="0" w:firstLineChars="0"/>
              <w:jc w:val="center"/>
              <w:rPr>
                <w:rFonts w:hint="eastAsia" w:ascii="楷体_GB2312" w:hAnsi="楷体_GB2312" w:eastAsia="楷体_GB2312" w:cs="楷体_GB2312"/>
                <w:color w:val="FF0000"/>
                <w:sz w:val="21"/>
                <w:szCs w:val="21"/>
              </w:rPr>
            </w:pPr>
            <w:r>
              <w:rPr>
                <w:rFonts w:hint="eastAsia" w:ascii="楷体_GB2312" w:hAnsi="楷体_GB2312" w:eastAsia="楷体_GB2312" w:cs="楷体_GB2312"/>
                <w:color w:val="000000"/>
                <w:sz w:val="21"/>
                <w:szCs w:val="21"/>
              </w:rPr>
              <w:t>经典及前沿文献选读</w:t>
            </w:r>
          </w:p>
        </w:tc>
        <w:tc>
          <w:tcPr>
            <w:tcW w:w="845" w:type="pct"/>
            <w:vMerge w:val="restart"/>
            <w:shd w:val="clear" w:color="auto" w:fill="FFFFFF"/>
            <w:noWrap w:val="0"/>
            <w:vAlign w:val="center"/>
          </w:tcPr>
          <w:p>
            <w:pPr>
              <w:spacing w:line="240" w:lineRule="auto"/>
              <w:ind w:firstLine="0" w:firstLineChars="0"/>
              <w:jc w:val="center"/>
              <w:rPr>
                <w:rFonts w:hint="eastAsia" w:ascii="楷体_GB2312" w:hAnsi="楷体_GB2312" w:eastAsia="楷体_GB2312" w:cs="楷体_GB2312"/>
                <w:color w:val="FF0000"/>
                <w:sz w:val="21"/>
                <w:szCs w:val="21"/>
              </w:rPr>
            </w:pPr>
          </w:p>
        </w:tc>
        <w:tc>
          <w:tcPr>
            <w:tcW w:w="809" w:type="pct"/>
            <w:vMerge w:val="restart"/>
            <w:shd w:val="clear" w:color="auto" w:fill="FFFFFF"/>
            <w:noWrap w:val="0"/>
            <w:vAlign w:val="center"/>
          </w:tcPr>
          <w:p>
            <w:pPr>
              <w:spacing w:line="240" w:lineRule="auto"/>
              <w:ind w:firstLine="0" w:firstLineChars="0"/>
              <w:jc w:val="center"/>
              <w:rPr>
                <w:rFonts w:hint="eastAsia" w:ascii="楷体_GB2312" w:hAnsi="楷体_GB2312" w:eastAsia="楷体_GB2312" w:cs="楷体_GB2312"/>
                <w:b/>
                <w:color w:val="C0504D"/>
                <w:sz w:val="21"/>
                <w:szCs w:val="21"/>
              </w:rPr>
            </w:pPr>
          </w:p>
          <w:p>
            <w:pPr>
              <w:spacing w:line="240" w:lineRule="auto"/>
              <w:ind w:firstLine="0" w:firstLineChars="0"/>
              <w:jc w:val="center"/>
              <w:rPr>
                <w:rFonts w:hint="eastAsia" w:ascii="楷体_GB2312" w:hAnsi="楷体_GB2312" w:eastAsia="楷体_GB2312" w:cs="楷体_GB2312"/>
                <w:b/>
                <w:color w:val="C0504D"/>
                <w:sz w:val="21"/>
                <w:szCs w:val="21"/>
              </w:rPr>
            </w:pPr>
          </w:p>
          <w:p>
            <w:pPr>
              <w:spacing w:line="240" w:lineRule="auto"/>
              <w:ind w:firstLine="0" w:firstLineChars="0"/>
              <w:jc w:val="center"/>
              <w:rPr>
                <w:rFonts w:hint="eastAsia" w:ascii="楷体_GB2312" w:hAnsi="楷体_GB2312" w:eastAsia="楷体_GB2312" w:cs="楷体_GB2312"/>
                <w:b/>
                <w:color w:val="C0504D"/>
                <w:sz w:val="21"/>
                <w:szCs w:val="21"/>
              </w:rPr>
            </w:pPr>
          </w:p>
          <w:p>
            <w:pPr>
              <w:spacing w:line="240" w:lineRule="auto"/>
              <w:ind w:firstLine="0" w:firstLineChars="0"/>
              <w:jc w:val="center"/>
              <w:rPr>
                <w:rFonts w:hint="eastAsia" w:ascii="楷体_GB2312" w:hAnsi="楷体_GB2312" w:eastAsia="楷体_GB2312" w:cs="楷体_GB2312"/>
                <w:b/>
                <w:color w:val="C0504D"/>
                <w:sz w:val="21"/>
                <w:szCs w:val="21"/>
              </w:rPr>
            </w:pPr>
          </w:p>
          <w:p>
            <w:pPr>
              <w:spacing w:line="240" w:lineRule="auto"/>
              <w:ind w:firstLine="0" w:firstLineChars="0"/>
              <w:jc w:val="center"/>
              <w:rPr>
                <w:rFonts w:hint="eastAsia" w:ascii="楷体_GB2312" w:hAnsi="楷体_GB2312" w:eastAsia="楷体_GB2312" w:cs="楷体_GB2312"/>
                <w:b/>
                <w:color w:val="C0504D"/>
                <w:sz w:val="21"/>
                <w:szCs w:val="21"/>
              </w:rPr>
            </w:pPr>
          </w:p>
          <w:p>
            <w:pPr>
              <w:spacing w:line="240" w:lineRule="auto"/>
              <w:ind w:firstLine="0" w:firstLineChars="0"/>
              <w:jc w:val="center"/>
              <w:rPr>
                <w:rFonts w:hint="eastAsia" w:ascii="楷体_GB2312" w:hAnsi="楷体_GB2312" w:eastAsia="楷体_GB2312" w:cs="楷体_GB2312"/>
                <w:b/>
                <w:color w:val="C0504D"/>
                <w:sz w:val="21"/>
                <w:szCs w:val="21"/>
              </w:rPr>
            </w:pPr>
          </w:p>
          <w:p>
            <w:pPr>
              <w:spacing w:line="240" w:lineRule="auto"/>
              <w:ind w:firstLine="0" w:firstLineChars="0"/>
              <w:jc w:val="center"/>
              <w:rPr>
                <w:rFonts w:hint="eastAsia" w:ascii="楷体_GB2312" w:hAnsi="楷体_GB2312" w:eastAsia="楷体_GB2312" w:cs="楷体_GB2312"/>
                <w:b/>
                <w:color w:val="C0504D"/>
                <w:sz w:val="21"/>
                <w:szCs w:val="21"/>
              </w:rPr>
            </w:pPr>
          </w:p>
          <w:p>
            <w:pPr>
              <w:spacing w:line="240" w:lineRule="auto"/>
              <w:ind w:firstLine="0" w:firstLineChars="0"/>
              <w:jc w:val="center"/>
              <w:rPr>
                <w:rFonts w:hint="eastAsia" w:ascii="楷体_GB2312" w:hAnsi="楷体_GB2312" w:eastAsia="楷体_GB2312" w:cs="楷体_GB2312"/>
                <w:b/>
                <w:color w:val="C0504D"/>
                <w:sz w:val="21"/>
                <w:szCs w:val="21"/>
              </w:rPr>
            </w:pPr>
          </w:p>
          <w:p>
            <w:pPr>
              <w:spacing w:line="240" w:lineRule="auto"/>
              <w:ind w:firstLine="0" w:firstLineChars="0"/>
              <w:jc w:val="center"/>
              <w:rPr>
                <w:rFonts w:hint="eastAsia" w:ascii="楷体_GB2312" w:hAnsi="楷体_GB2312" w:eastAsia="楷体_GB2312" w:cs="楷体_GB2312"/>
                <w:b/>
                <w:color w:val="C0504D"/>
                <w:sz w:val="21"/>
                <w:szCs w:val="21"/>
              </w:rPr>
            </w:pPr>
          </w:p>
          <w:p>
            <w:pPr>
              <w:spacing w:line="240" w:lineRule="auto"/>
              <w:ind w:firstLine="0" w:firstLineChars="0"/>
              <w:jc w:val="center"/>
              <w:rPr>
                <w:rFonts w:hint="eastAsia" w:ascii="楷体_GB2312" w:hAnsi="楷体_GB2312" w:eastAsia="楷体_GB2312" w:cs="楷体_GB2312"/>
                <w:color w:val="000000"/>
                <w:sz w:val="21"/>
                <w:szCs w:val="21"/>
              </w:rPr>
            </w:pPr>
          </w:p>
        </w:tc>
        <w:tc>
          <w:tcPr>
            <w:tcW w:w="543"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961" w:type="pct"/>
            <w:vMerge w:val="restart"/>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0" w:type="pct"/>
            <w:vMerge w:val="continue"/>
            <w:shd w:val="clear" w:color="auto" w:fill="auto"/>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1037"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西方经济学</w:t>
            </w:r>
          </w:p>
        </w:tc>
        <w:tc>
          <w:tcPr>
            <w:tcW w:w="650"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color w:val="FF0000"/>
                <w:sz w:val="21"/>
                <w:szCs w:val="21"/>
              </w:rPr>
            </w:pPr>
          </w:p>
        </w:tc>
        <w:tc>
          <w:tcPr>
            <w:tcW w:w="845"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color w:val="000000"/>
                <w:sz w:val="21"/>
                <w:szCs w:val="21"/>
              </w:rPr>
            </w:pPr>
          </w:p>
        </w:tc>
        <w:tc>
          <w:tcPr>
            <w:tcW w:w="809"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color w:val="000000"/>
                <w:sz w:val="21"/>
                <w:szCs w:val="21"/>
              </w:rPr>
            </w:pPr>
          </w:p>
        </w:tc>
        <w:tc>
          <w:tcPr>
            <w:tcW w:w="543"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color w:val="FF0000"/>
                <w:sz w:val="21"/>
                <w:szCs w:val="21"/>
              </w:rPr>
              <w:t>制度经济学</w:t>
            </w:r>
          </w:p>
        </w:tc>
        <w:tc>
          <w:tcPr>
            <w:tcW w:w="961"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highlight w:val="yellow"/>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0" w:type="pct"/>
            <w:vMerge w:val="continue"/>
            <w:shd w:val="clear" w:color="auto" w:fill="auto"/>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1037"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人口、资源与环境经济学</w:t>
            </w:r>
          </w:p>
        </w:tc>
        <w:tc>
          <w:tcPr>
            <w:tcW w:w="650"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color w:val="FF0000"/>
                <w:sz w:val="21"/>
                <w:szCs w:val="21"/>
              </w:rPr>
            </w:pPr>
          </w:p>
        </w:tc>
        <w:tc>
          <w:tcPr>
            <w:tcW w:w="845"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color w:val="000000"/>
                <w:sz w:val="21"/>
                <w:szCs w:val="21"/>
              </w:rPr>
            </w:pPr>
          </w:p>
        </w:tc>
        <w:tc>
          <w:tcPr>
            <w:tcW w:w="809"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color w:val="000000"/>
                <w:sz w:val="21"/>
                <w:szCs w:val="21"/>
              </w:rPr>
            </w:pPr>
          </w:p>
        </w:tc>
        <w:tc>
          <w:tcPr>
            <w:tcW w:w="543"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961"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highlight w:val="yellow"/>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0" w:type="pct"/>
            <w:vMerge w:val="continue"/>
            <w:shd w:val="clear" w:color="auto" w:fill="auto"/>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1037"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区域经济学</w:t>
            </w:r>
          </w:p>
        </w:tc>
        <w:tc>
          <w:tcPr>
            <w:tcW w:w="650" w:type="pct"/>
            <w:vMerge w:val="restart"/>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color w:val="FF0000"/>
                <w:sz w:val="21"/>
                <w:szCs w:val="21"/>
              </w:rPr>
              <w:t>研究方法论</w:t>
            </w:r>
          </w:p>
        </w:tc>
        <w:tc>
          <w:tcPr>
            <w:tcW w:w="845"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color w:val="000000"/>
                <w:sz w:val="21"/>
                <w:szCs w:val="21"/>
              </w:rPr>
            </w:pPr>
          </w:p>
        </w:tc>
        <w:tc>
          <w:tcPr>
            <w:tcW w:w="809"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color w:val="000000"/>
                <w:sz w:val="21"/>
                <w:szCs w:val="21"/>
              </w:rPr>
            </w:pPr>
          </w:p>
        </w:tc>
        <w:tc>
          <w:tcPr>
            <w:tcW w:w="543" w:type="pct"/>
            <w:vMerge w:val="restart"/>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lang w:val="en-US" w:eastAsia="zh-CN"/>
              </w:rPr>
            </w:pPr>
            <w:r>
              <w:rPr>
                <w:rFonts w:hint="eastAsia" w:ascii="楷体_GB2312" w:hAnsi="楷体_GB2312" w:eastAsia="楷体_GB2312" w:cs="楷体_GB2312"/>
                <w:sz w:val="21"/>
                <w:szCs w:val="21"/>
                <w:lang w:val="en-US" w:eastAsia="zh-CN"/>
              </w:rPr>
              <w:t>创新发展经济学</w:t>
            </w:r>
          </w:p>
        </w:tc>
        <w:tc>
          <w:tcPr>
            <w:tcW w:w="961" w:type="pct"/>
            <w:vMerge w:val="continue"/>
            <w:tcBorders>
              <w:bottom w:val="single" w:color="000000" w:sz="4" w:space="0"/>
            </w:tcBorders>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highlight w:val="yellow"/>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0" w:type="pct"/>
            <w:vMerge w:val="continue"/>
            <w:shd w:val="clear" w:color="auto" w:fill="auto"/>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1037"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金融学</w:t>
            </w:r>
          </w:p>
        </w:tc>
        <w:tc>
          <w:tcPr>
            <w:tcW w:w="650"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845"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color w:val="000000"/>
                <w:sz w:val="21"/>
                <w:szCs w:val="21"/>
              </w:rPr>
            </w:pPr>
          </w:p>
        </w:tc>
        <w:tc>
          <w:tcPr>
            <w:tcW w:w="809"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color w:val="000000"/>
                <w:sz w:val="21"/>
                <w:szCs w:val="21"/>
              </w:rPr>
            </w:pPr>
          </w:p>
        </w:tc>
        <w:tc>
          <w:tcPr>
            <w:tcW w:w="543"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96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highlight w:val="yellow"/>
                <w:u w:val="single"/>
              </w:rPr>
            </w:pPr>
            <w:r>
              <w:rPr>
                <w:rFonts w:hint="eastAsia" w:ascii="楷体_GB2312" w:hAnsi="楷体_GB2312" w:eastAsia="楷体_GB2312" w:cs="楷体_GB2312"/>
                <w:bCs/>
                <w:color w:val="FF0000"/>
                <w:sz w:val="21"/>
                <w:szCs w:val="21"/>
              </w:rPr>
              <w:t>货币银行学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0" w:type="pct"/>
            <w:vMerge w:val="continue"/>
            <w:shd w:val="clear" w:color="auto" w:fill="auto"/>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1037"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产业经济学</w:t>
            </w:r>
          </w:p>
        </w:tc>
        <w:tc>
          <w:tcPr>
            <w:tcW w:w="650"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845"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color w:val="000000"/>
                <w:sz w:val="21"/>
                <w:szCs w:val="21"/>
                <w:u w:val="single"/>
              </w:rPr>
            </w:pPr>
          </w:p>
        </w:tc>
        <w:tc>
          <w:tcPr>
            <w:tcW w:w="809"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color w:val="000000"/>
                <w:sz w:val="21"/>
                <w:szCs w:val="21"/>
              </w:rPr>
            </w:pPr>
          </w:p>
        </w:tc>
        <w:tc>
          <w:tcPr>
            <w:tcW w:w="543"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961" w:type="pct"/>
            <w:vMerge w:val="restart"/>
            <w:tcBorders>
              <w:top w:val="single" w:color="000000" w:sz="4" w:space="0"/>
            </w:tcBorders>
            <w:noWrap w:val="0"/>
            <w:vAlign w:val="center"/>
          </w:tcPr>
          <w:p>
            <w:pPr>
              <w:spacing w:line="240" w:lineRule="auto"/>
              <w:ind w:firstLine="0" w:firstLineChars="0"/>
              <w:jc w:val="center"/>
              <w:rPr>
                <w:rFonts w:hint="eastAsia" w:ascii="楷体_GB2312" w:hAnsi="楷体_GB2312" w:eastAsia="楷体_GB2312" w:cs="楷体_GB2312"/>
                <w:color w:val="FF0000"/>
                <w:sz w:val="21"/>
                <w:szCs w:val="21"/>
                <w:highlight w:val="yellow"/>
              </w:rPr>
            </w:pPr>
          </w:p>
          <w:p>
            <w:pPr>
              <w:spacing w:line="240" w:lineRule="auto"/>
              <w:ind w:firstLine="0" w:firstLineChars="0"/>
              <w:jc w:val="center"/>
              <w:rPr>
                <w:rFonts w:hint="eastAsia" w:ascii="楷体_GB2312" w:hAnsi="楷体_GB2312" w:eastAsia="楷体_GB2312" w:cs="楷体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0" w:type="pct"/>
            <w:vMerge w:val="continue"/>
            <w:shd w:val="clear" w:color="auto" w:fill="auto"/>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1037"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国际贸易学</w:t>
            </w:r>
          </w:p>
        </w:tc>
        <w:tc>
          <w:tcPr>
            <w:tcW w:w="650"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845"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color w:val="000000"/>
                <w:sz w:val="21"/>
                <w:szCs w:val="21"/>
                <w:u w:val="single"/>
              </w:rPr>
            </w:pPr>
          </w:p>
        </w:tc>
        <w:tc>
          <w:tcPr>
            <w:tcW w:w="809"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color w:val="000000"/>
                <w:sz w:val="21"/>
                <w:szCs w:val="21"/>
              </w:rPr>
            </w:pPr>
          </w:p>
        </w:tc>
        <w:tc>
          <w:tcPr>
            <w:tcW w:w="543"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961"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highlight w:val="yellow"/>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0" w:type="pct"/>
            <w:vMerge w:val="continue"/>
            <w:shd w:val="clear" w:color="auto" w:fill="auto"/>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1037"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社会学</w:t>
            </w:r>
          </w:p>
        </w:tc>
        <w:tc>
          <w:tcPr>
            <w:tcW w:w="650" w:type="pct"/>
            <w:vMerge w:val="restart"/>
            <w:shd w:val="clear" w:color="auto" w:fill="FFFFFF"/>
            <w:noWrap w:val="0"/>
            <w:vAlign w:val="center"/>
          </w:tcPr>
          <w:p>
            <w:pPr>
              <w:spacing w:line="240" w:lineRule="auto"/>
              <w:ind w:firstLine="0" w:firstLineChars="0"/>
              <w:jc w:val="center"/>
              <w:rPr>
                <w:rFonts w:hint="eastAsia" w:ascii="楷体_GB2312" w:hAnsi="楷体_GB2312" w:eastAsia="楷体_GB2312" w:cs="楷体_GB2312"/>
                <w:color w:val="FF0000"/>
                <w:sz w:val="21"/>
                <w:szCs w:val="21"/>
              </w:rPr>
            </w:pPr>
          </w:p>
        </w:tc>
        <w:tc>
          <w:tcPr>
            <w:tcW w:w="845"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color w:val="000000"/>
                <w:sz w:val="21"/>
                <w:szCs w:val="21"/>
                <w:u w:val="single"/>
              </w:rPr>
            </w:pPr>
            <w:r>
              <w:rPr>
                <w:rFonts w:hint="eastAsia" w:ascii="楷体_GB2312" w:hAnsi="楷体_GB2312" w:eastAsia="楷体_GB2312" w:cs="楷体_GB2312"/>
                <w:sz w:val="21"/>
                <w:szCs w:val="21"/>
              </w:rPr>
              <w:t>科学社会学</w:t>
            </w:r>
          </w:p>
        </w:tc>
        <w:tc>
          <w:tcPr>
            <w:tcW w:w="809"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color w:val="000000"/>
                <w:sz w:val="21"/>
                <w:szCs w:val="21"/>
              </w:rPr>
            </w:pPr>
          </w:p>
        </w:tc>
        <w:tc>
          <w:tcPr>
            <w:tcW w:w="543" w:type="pct"/>
            <w:vMerge w:val="restart"/>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bCs/>
                <w:color w:val="FF0000"/>
                <w:sz w:val="21"/>
                <w:szCs w:val="21"/>
              </w:rPr>
              <w:t>田野调查理论与方法</w:t>
            </w:r>
          </w:p>
        </w:tc>
        <w:tc>
          <w:tcPr>
            <w:tcW w:w="961" w:type="pct"/>
            <w:vMerge w:val="continue"/>
            <w:noWrap w:val="0"/>
            <w:vAlign w:val="center"/>
          </w:tcPr>
          <w:p>
            <w:pPr>
              <w:spacing w:line="240" w:lineRule="auto"/>
              <w:ind w:firstLine="0" w:firstLineChars="0"/>
              <w:jc w:val="center"/>
              <w:rPr>
                <w:rFonts w:hint="eastAsia" w:ascii="楷体_GB2312" w:hAnsi="楷体_GB2312" w:eastAsia="楷体_GB2312" w:cs="楷体_GB2312"/>
                <w:color w:val="FF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50" w:type="pct"/>
            <w:vMerge w:val="continue"/>
            <w:shd w:val="clear" w:color="auto" w:fill="auto"/>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1037"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人口学</w:t>
            </w:r>
          </w:p>
        </w:tc>
        <w:tc>
          <w:tcPr>
            <w:tcW w:w="650"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color w:val="FF0000"/>
                <w:sz w:val="21"/>
                <w:szCs w:val="21"/>
              </w:rPr>
            </w:pPr>
          </w:p>
        </w:tc>
        <w:tc>
          <w:tcPr>
            <w:tcW w:w="845" w:type="pct"/>
            <w:vMerge w:val="restart"/>
            <w:shd w:val="clear" w:color="auto" w:fill="FFFFFF"/>
            <w:noWrap w:val="0"/>
            <w:vAlign w:val="center"/>
          </w:tcPr>
          <w:p>
            <w:pPr>
              <w:spacing w:line="240" w:lineRule="auto"/>
              <w:ind w:firstLine="0" w:firstLineChars="0"/>
              <w:jc w:val="center"/>
              <w:rPr>
                <w:rFonts w:hint="eastAsia" w:ascii="楷体_GB2312" w:hAnsi="楷体_GB2312" w:eastAsia="楷体_GB2312" w:cs="楷体_GB2312"/>
                <w:color w:val="000000"/>
                <w:sz w:val="21"/>
                <w:szCs w:val="21"/>
                <w:u w:val="single"/>
              </w:rPr>
            </w:pPr>
          </w:p>
        </w:tc>
        <w:tc>
          <w:tcPr>
            <w:tcW w:w="809"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color w:val="000000"/>
                <w:sz w:val="21"/>
                <w:szCs w:val="21"/>
              </w:rPr>
            </w:pPr>
          </w:p>
        </w:tc>
        <w:tc>
          <w:tcPr>
            <w:tcW w:w="543"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961" w:type="pct"/>
            <w:vMerge w:val="continue"/>
            <w:noWrap w:val="0"/>
            <w:vAlign w:val="center"/>
          </w:tcPr>
          <w:p>
            <w:pPr>
              <w:spacing w:line="240" w:lineRule="auto"/>
              <w:ind w:firstLine="0" w:firstLineChars="0"/>
              <w:jc w:val="center"/>
              <w:rPr>
                <w:rFonts w:hint="eastAsia" w:ascii="楷体_GB2312" w:hAnsi="楷体_GB2312" w:eastAsia="楷体_GB2312" w:cs="楷体_GB2312"/>
                <w:sz w:val="21"/>
                <w:szCs w:val="21"/>
                <w:highlight w:val="yellow"/>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50" w:type="pct"/>
            <w:vMerge w:val="continue"/>
            <w:shd w:val="clear" w:color="auto" w:fill="auto"/>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1037"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民俗学</w:t>
            </w:r>
          </w:p>
        </w:tc>
        <w:tc>
          <w:tcPr>
            <w:tcW w:w="650"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color w:val="FF0000"/>
                <w:sz w:val="21"/>
                <w:szCs w:val="21"/>
              </w:rPr>
            </w:pPr>
          </w:p>
        </w:tc>
        <w:tc>
          <w:tcPr>
            <w:tcW w:w="845"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color w:val="000000"/>
                <w:sz w:val="21"/>
                <w:szCs w:val="21"/>
                <w:u w:val="single"/>
              </w:rPr>
            </w:pPr>
          </w:p>
        </w:tc>
        <w:tc>
          <w:tcPr>
            <w:tcW w:w="809"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color w:val="000000"/>
                <w:sz w:val="21"/>
                <w:szCs w:val="21"/>
              </w:rPr>
            </w:pPr>
          </w:p>
        </w:tc>
        <w:tc>
          <w:tcPr>
            <w:tcW w:w="543"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961" w:type="pct"/>
            <w:vMerge w:val="continue"/>
            <w:noWrap w:val="0"/>
            <w:vAlign w:val="center"/>
          </w:tcPr>
          <w:p>
            <w:pPr>
              <w:spacing w:line="240" w:lineRule="auto"/>
              <w:ind w:firstLine="0" w:firstLineChars="0"/>
              <w:jc w:val="center"/>
              <w:rPr>
                <w:rFonts w:hint="eastAsia" w:ascii="楷体_GB2312" w:hAnsi="楷体_GB2312" w:eastAsia="楷体_GB2312" w:cs="楷体_GB2312"/>
                <w:sz w:val="21"/>
                <w:szCs w:val="21"/>
                <w:highlight w:val="yellow"/>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50" w:type="pct"/>
            <w:vMerge w:val="continue"/>
            <w:shd w:val="clear" w:color="auto" w:fill="auto"/>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1037"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中国古代史</w:t>
            </w:r>
          </w:p>
        </w:tc>
        <w:tc>
          <w:tcPr>
            <w:tcW w:w="650"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color w:val="FF0000"/>
                <w:sz w:val="21"/>
                <w:szCs w:val="21"/>
              </w:rPr>
            </w:pPr>
            <w:r>
              <w:rPr>
                <w:rFonts w:hint="eastAsia" w:ascii="楷体_GB2312" w:hAnsi="楷体_GB2312" w:eastAsia="楷体_GB2312" w:cs="楷体_GB2312"/>
                <w:bCs/>
                <w:color w:val="FF0000"/>
                <w:sz w:val="21"/>
                <w:szCs w:val="21"/>
              </w:rPr>
              <w:t>中国政治制度史</w:t>
            </w:r>
          </w:p>
        </w:tc>
        <w:tc>
          <w:tcPr>
            <w:tcW w:w="845"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color w:val="000000"/>
                <w:sz w:val="21"/>
                <w:szCs w:val="21"/>
                <w:u w:val="single"/>
              </w:rPr>
            </w:pPr>
          </w:p>
        </w:tc>
        <w:tc>
          <w:tcPr>
            <w:tcW w:w="809"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color w:val="000000"/>
                <w:sz w:val="21"/>
                <w:szCs w:val="21"/>
              </w:rPr>
            </w:pPr>
          </w:p>
        </w:tc>
        <w:tc>
          <w:tcPr>
            <w:tcW w:w="543" w:type="pct"/>
            <w:vMerge w:val="restart"/>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961"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50" w:type="pct"/>
            <w:vMerge w:val="continue"/>
            <w:shd w:val="clear" w:color="auto" w:fill="auto"/>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1037"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中国近现代史</w:t>
            </w:r>
          </w:p>
        </w:tc>
        <w:tc>
          <w:tcPr>
            <w:tcW w:w="650" w:type="pct"/>
            <w:vMerge w:val="restart"/>
            <w:shd w:val="clear" w:color="auto" w:fill="FFFFFF"/>
            <w:noWrap w:val="0"/>
            <w:vAlign w:val="center"/>
          </w:tcPr>
          <w:p>
            <w:pPr>
              <w:spacing w:line="240" w:lineRule="auto"/>
              <w:ind w:firstLine="0" w:firstLineChars="0"/>
              <w:jc w:val="center"/>
              <w:rPr>
                <w:rFonts w:hint="eastAsia" w:ascii="楷体_GB2312" w:hAnsi="楷体_GB2312" w:eastAsia="楷体_GB2312" w:cs="楷体_GB2312"/>
                <w:color w:val="000000"/>
                <w:sz w:val="21"/>
                <w:szCs w:val="21"/>
              </w:rPr>
            </w:pPr>
          </w:p>
        </w:tc>
        <w:tc>
          <w:tcPr>
            <w:tcW w:w="845"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u w:val="single"/>
              </w:rPr>
            </w:pPr>
            <w:r>
              <w:rPr>
                <w:rFonts w:hint="eastAsia" w:ascii="楷体_GB2312" w:hAnsi="楷体_GB2312" w:eastAsia="楷体_GB2312" w:cs="楷体_GB2312"/>
                <w:color w:val="000000"/>
                <w:sz w:val="21"/>
                <w:szCs w:val="21"/>
              </w:rPr>
              <w:t>孙中山与中华民国史</w:t>
            </w:r>
          </w:p>
        </w:tc>
        <w:tc>
          <w:tcPr>
            <w:tcW w:w="809"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543"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961"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50" w:type="pct"/>
            <w:vMerge w:val="continue"/>
            <w:shd w:val="clear" w:color="auto" w:fill="auto"/>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1037"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专门史</w:t>
            </w:r>
          </w:p>
        </w:tc>
        <w:tc>
          <w:tcPr>
            <w:tcW w:w="650"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color w:val="000000"/>
                <w:sz w:val="21"/>
                <w:szCs w:val="21"/>
              </w:rPr>
            </w:pPr>
          </w:p>
        </w:tc>
        <w:tc>
          <w:tcPr>
            <w:tcW w:w="845"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b/>
                <w:color w:val="000000"/>
                <w:sz w:val="21"/>
                <w:szCs w:val="21"/>
              </w:rPr>
            </w:pPr>
          </w:p>
        </w:tc>
        <w:tc>
          <w:tcPr>
            <w:tcW w:w="809"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543"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961" w:type="pct"/>
            <w:shd w:val="clear" w:color="auto" w:fill="FFFFFF"/>
            <w:noWrap w:val="0"/>
            <w:vAlign w:val="center"/>
          </w:tcPr>
          <w:p>
            <w:pPr>
              <w:spacing w:line="240" w:lineRule="auto"/>
              <w:ind w:firstLine="0" w:firstLineChars="0"/>
              <w:jc w:val="center"/>
              <w:rPr>
                <w:rFonts w:hint="default" w:ascii="楷体_GB2312" w:hAnsi="楷体_GB2312" w:eastAsia="楷体_GB2312" w:cs="楷体_GB2312"/>
                <w:bCs/>
                <w:color w:val="FF0000"/>
                <w:sz w:val="21"/>
                <w:szCs w:val="21"/>
              </w:rPr>
            </w:pPr>
            <w:r>
              <w:rPr>
                <w:rFonts w:hint="eastAsia" w:ascii="楷体_GB2312" w:hAnsi="楷体_GB2312" w:eastAsia="楷体_GB2312" w:cs="楷体_GB2312"/>
                <w:bCs/>
                <w:color w:val="FF0000"/>
                <w:sz w:val="21"/>
                <w:szCs w:val="21"/>
                <w:lang w:val="en-US" w:eastAsia="zh-CN"/>
              </w:rPr>
              <w:t>南海历史地理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0" w:type="pct"/>
            <w:vMerge w:val="restart"/>
            <w:shd w:val="clear" w:color="auto" w:fill="auto"/>
            <w:noWrap w:val="0"/>
            <w:vAlign w:val="center"/>
          </w:tcPr>
          <w:p>
            <w:pPr>
              <w:spacing w:line="240" w:lineRule="auto"/>
              <w:ind w:firstLine="0" w:firstLineChars="0"/>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下</w:t>
            </w:r>
          </w:p>
          <w:p>
            <w:pPr>
              <w:spacing w:line="240" w:lineRule="auto"/>
              <w:ind w:firstLine="0" w:firstLineChars="0"/>
              <w:rPr>
                <w:rFonts w:hint="eastAsia" w:ascii="楷体_GB2312" w:hAnsi="楷体_GB2312" w:eastAsia="楷体_GB2312" w:cs="楷体_GB2312"/>
                <w:sz w:val="21"/>
                <w:szCs w:val="21"/>
              </w:rPr>
            </w:pPr>
          </w:p>
          <w:p>
            <w:pPr>
              <w:spacing w:line="240" w:lineRule="auto"/>
              <w:ind w:firstLine="0" w:firstLineChars="0"/>
              <w:rPr>
                <w:rFonts w:hint="eastAsia" w:ascii="楷体_GB2312" w:hAnsi="楷体_GB2312" w:eastAsia="楷体_GB2312" w:cs="楷体_GB2312"/>
                <w:sz w:val="21"/>
                <w:szCs w:val="21"/>
              </w:rPr>
            </w:pPr>
          </w:p>
          <w:p>
            <w:pPr>
              <w:spacing w:line="240" w:lineRule="auto"/>
              <w:ind w:firstLine="0" w:firstLineChars="0"/>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午</w:t>
            </w:r>
          </w:p>
          <w:p>
            <w:pPr>
              <w:spacing w:line="240" w:lineRule="auto"/>
              <w:ind w:firstLine="0" w:firstLineChars="0"/>
              <w:rPr>
                <w:rFonts w:hint="eastAsia" w:ascii="楷体_GB2312" w:hAnsi="楷体_GB2312" w:eastAsia="楷体_GB2312" w:cs="楷体_GB2312"/>
                <w:sz w:val="21"/>
                <w:szCs w:val="21"/>
              </w:rPr>
            </w:pPr>
          </w:p>
          <w:p>
            <w:pPr>
              <w:spacing w:line="240" w:lineRule="auto"/>
              <w:ind w:firstLine="0" w:firstLineChars="0"/>
              <w:rPr>
                <w:rFonts w:hint="eastAsia" w:ascii="楷体_GB2312" w:hAnsi="楷体_GB2312" w:eastAsia="楷体_GB2312" w:cs="楷体_GB2312"/>
                <w:b/>
                <w:sz w:val="21"/>
                <w:szCs w:val="21"/>
              </w:rPr>
            </w:pPr>
          </w:p>
          <w:p>
            <w:pPr>
              <w:spacing w:line="240" w:lineRule="auto"/>
              <w:ind w:firstLine="0" w:firstLineChars="0"/>
              <w:rPr>
                <w:rFonts w:hint="eastAsia" w:ascii="楷体_GB2312" w:hAnsi="楷体_GB2312" w:eastAsia="楷体_GB2312" w:cs="楷体_GB2312"/>
                <w:b/>
                <w:sz w:val="21"/>
                <w:szCs w:val="21"/>
              </w:rPr>
            </w:pPr>
          </w:p>
          <w:p>
            <w:pPr>
              <w:spacing w:line="240" w:lineRule="auto"/>
              <w:ind w:firstLine="0" w:firstLineChars="0"/>
              <w:rPr>
                <w:rFonts w:hint="eastAsia" w:ascii="楷体_GB2312" w:hAnsi="楷体_GB2312" w:eastAsia="楷体_GB2312" w:cs="楷体_GB2312"/>
                <w:b/>
                <w:sz w:val="21"/>
                <w:szCs w:val="21"/>
              </w:rPr>
            </w:pPr>
          </w:p>
          <w:p>
            <w:pPr>
              <w:spacing w:line="240" w:lineRule="auto"/>
              <w:ind w:firstLine="0" w:firstLineChars="0"/>
              <w:rPr>
                <w:rFonts w:hint="eastAsia" w:ascii="楷体_GB2312" w:hAnsi="楷体_GB2312" w:eastAsia="楷体_GB2312" w:cs="楷体_GB2312"/>
                <w:b/>
                <w:sz w:val="21"/>
                <w:szCs w:val="21"/>
              </w:rPr>
            </w:pPr>
          </w:p>
          <w:p>
            <w:pPr>
              <w:spacing w:line="240" w:lineRule="auto"/>
              <w:ind w:firstLine="0" w:firstLineChars="0"/>
              <w:rPr>
                <w:rFonts w:hint="eastAsia" w:ascii="楷体_GB2312" w:hAnsi="楷体_GB2312" w:eastAsia="楷体_GB2312" w:cs="楷体_GB2312"/>
                <w:b/>
                <w:sz w:val="21"/>
                <w:szCs w:val="21"/>
              </w:rPr>
            </w:pPr>
          </w:p>
          <w:p>
            <w:pPr>
              <w:spacing w:line="240" w:lineRule="auto"/>
              <w:ind w:firstLine="0" w:firstLineChars="0"/>
              <w:rPr>
                <w:rFonts w:hint="eastAsia" w:ascii="楷体_GB2312" w:hAnsi="楷体_GB2312" w:eastAsia="楷体_GB2312" w:cs="楷体_GB2312"/>
                <w:b/>
                <w:sz w:val="21"/>
                <w:szCs w:val="21"/>
              </w:rPr>
            </w:pPr>
          </w:p>
          <w:p>
            <w:pPr>
              <w:spacing w:line="240" w:lineRule="auto"/>
              <w:ind w:firstLine="0" w:firstLineChars="0"/>
              <w:rPr>
                <w:rFonts w:hint="eastAsia" w:ascii="楷体_GB2312" w:hAnsi="楷体_GB2312" w:eastAsia="楷体_GB2312" w:cs="楷体_GB2312"/>
                <w:sz w:val="21"/>
                <w:szCs w:val="21"/>
              </w:rPr>
            </w:pPr>
          </w:p>
        </w:tc>
        <w:tc>
          <w:tcPr>
            <w:tcW w:w="1037"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专业</w:t>
            </w:r>
          </w:p>
        </w:tc>
        <w:tc>
          <w:tcPr>
            <w:tcW w:w="650"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星期一</w:t>
            </w:r>
          </w:p>
        </w:tc>
        <w:tc>
          <w:tcPr>
            <w:tcW w:w="845"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星期二</w:t>
            </w:r>
          </w:p>
        </w:tc>
        <w:tc>
          <w:tcPr>
            <w:tcW w:w="809"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星期三</w:t>
            </w:r>
          </w:p>
        </w:tc>
        <w:tc>
          <w:tcPr>
            <w:tcW w:w="543"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星期四</w:t>
            </w:r>
          </w:p>
        </w:tc>
        <w:tc>
          <w:tcPr>
            <w:tcW w:w="961"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星期五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50" w:type="pct"/>
            <w:vMerge w:val="continue"/>
            <w:shd w:val="clear" w:color="auto" w:fill="auto"/>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1037"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政治经济学</w:t>
            </w:r>
          </w:p>
        </w:tc>
        <w:tc>
          <w:tcPr>
            <w:tcW w:w="650" w:type="pct"/>
            <w:vMerge w:val="restart"/>
            <w:shd w:val="clear" w:color="auto" w:fill="FFFFFF"/>
            <w:noWrap w:val="0"/>
            <w:vAlign w:val="center"/>
          </w:tcPr>
          <w:p>
            <w:pPr>
              <w:spacing w:line="240" w:lineRule="auto"/>
              <w:ind w:firstLine="0" w:firstLineChars="0"/>
              <w:jc w:val="center"/>
              <w:rPr>
                <w:rFonts w:hint="eastAsia" w:ascii="楷体_GB2312" w:hAnsi="楷体_GB2312" w:eastAsia="楷体_GB2312" w:cs="楷体_GB2312"/>
                <w:color w:val="FF0000"/>
                <w:sz w:val="21"/>
                <w:szCs w:val="21"/>
              </w:rPr>
            </w:pPr>
            <w:r>
              <w:rPr>
                <w:rFonts w:hint="eastAsia" w:ascii="楷体_GB2312" w:hAnsi="楷体_GB2312" w:eastAsia="楷体_GB2312" w:cs="楷体_GB2312"/>
                <w:color w:val="FF0000"/>
                <w:sz w:val="21"/>
                <w:szCs w:val="21"/>
              </w:rPr>
              <w:t>英语二</w:t>
            </w:r>
          </w:p>
        </w:tc>
        <w:tc>
          <w:tcPr>
            <w:tcW w:w="845" w:type="pct"/>
            <w:vMerge w:val="restart"/>
            <w:shd w:val="clear" w:color="auto" w:fill="FFFFFF"/>
            <w:noWrap w:val="0"/>
            <w:vAlign w:val="center"/>
          </w:tcPr>
          <w:p>
            <w:pPr>
              <w:spacing w:line="240" w:lineRule="auto"/>
              <w:ind w:firstLine="0" w:firstLineChars="0"/>
              <w:jc w:val="center"/>
              <w:rPr>
                <w:rFonts w:hint="eastAsia" w:ascii="楷体_GB2312" w:hAnsi="楷体_GB2312" w:eastAsia="楷体_GB2312" w:cs="楷体_GB2312"/>
                <w:color w:val="FF0000"/>
                <w:sz w:val="21"/>
                <w:szCs w:val="21"/>
              </w:rPr>
            </w:pPr>
            <w:r>
              <w:rPr>
                <w:rFonts w:hint="eastAsia" w:ascii="楷体_GB2312" w:hAnsi="楷体_GB2312" w:eastAsia="楷体_GB2312" w:cs="楷体_GB2312"/>
                <w:color w:val="FF0000"/>
                <w:sz w:val="21"/>
                <w:szCs w:val="21"/>
              </w:rPr>
              <w:t>中国马克思主义与当代</w:t>
            </w:r>
          </w:p>
        </w:tc>
        <w:tc>
          <w:tcPr>
            <w:tcW w:w="809" w:type="pct"/>
            <w:vMerge w:val="restart"/>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543" w:type="pct"/>
            <w:vMerge w:val="restart"/>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961" w:type="pct"/>
            <w:vMerge w:val="restart"/>
            <w:shd w:val="clear" w:color="auto" w:fill="FFFFFF"/>
            <w:noWrap w:val="0"/>
            <w:vAlign w:val="center"/>
          </w:tcPr>
          <w:p>
            <w:pPr>
              <w:spacing w:line="240" w:lineRule="auto"/>
              <w:ind w:firstLine="0" w:firstLineChars="0"/>
              <w:jc w:val="center"/>
              <w:rPr>
                <w:rFonts w:hint="eastAsia" w:ascii="楷体_GB2312" w:hAnsi="楷体_GB2312" w:eastAsia="楷体_GB2312" w:cs="楷体_GB2312"/>
                <w:b/>
                <w:color w:val="C0504D"/>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0" w:type="pct"/>
            <w:vMerge w:val="continue"/>
            <w:shd w:val="clear" w:color="auto" w:fill="auto"/>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1037"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西方经济学</w:t>
            </w:r>
          </w:p>
        </w:tc>
        <w:tc>
          <w:tcPr>
            <w:tcW w:w="650"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u w:val="single"/>
              </w:rPr>
            </w:pPr>
          </w:p>
        </w:tc>
        <w:tc>
          <w:tcPr>
            <w:tcW w:w="845"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809"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543"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961"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50" w:type="pct"/>
            <w:vMerge w:val="continue"/>
            <w:shd w:val="clear" w:color="auto" w:fill="auto"/>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1037"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人口、资源与环境经济学</w:t>
            </w:r>
          </w:p>
        </w:tc>
        <w:tc>
          <w:tcPr>
            <w:tcW w:w="650"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u w:val="single"/>
              </w:rPr>
            </w:pPr>
          </w:p>
        </w:tc>
        <w:tc>
          <w:tcPr>
            <w:tcW w:w="845"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809"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543"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961"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color w:val="FF0000"/>
                <w:sz w:val="21"/>
                <w:szCs w:val="21"/>
              </w:rPr>
            </w:pPr>
            <w:r>
              <w:rPr>
                <w:rFonts w:hint="eastAsia" w:ascii="楷体_GB2312" w:hAnsi="楷体_GB2312" w:eastAsia="楷体_GB2312" w:cs="楷体_GB2312"/>
                <w:bCs/>
                <w:color w:val="FF0000"/>
                <w:sz w:val="21"/>
                <w:szCs w:val="21"/>
              </w:rPr>
              <w:t>环境经济学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0" w:type="pct"/>
            <w:vMerge w:val="continue"/>
            <w:shd w:val="clear" w:color="auto" w:fill="auto"/>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1037"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区域经济学</w:t>
            </w:r>
          </w:p>
        </w:tc>
        <w:tc>
          <w:tcPr>
            <w:tcW w:w="650"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u w:val="single"/>
              </w:rPr>
            </w:pPr>
          </w:p>
        </w:tc>
        <w:tc>
          <w:tcPr>
            <w:tcW w:w="845"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809"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543"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961"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bCs/>
                <w:color w:val="FF0000"/>
                <w:sz w:val="21"/>
                <w:szCs w:val="21"/>
              </w:rPr>
              <w:t>区域经济学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150" w:type="pct"/>
            <w:vMerge w:val="continue"/>
            <w:shd w:val="clear" w:color="auto" w:fill="auto"/>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1037"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金融学</w:t>
            </w:r>
          </w:p>
        </w:tc>
        <w:tc>
          <w:tcPr>
            <w:tcW w:w="650"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u w:val="single"/>
              </w:rPr>
            </w:pPr>
          </w:p>
        </w:tc>
        <w:tc>
          <w:tcPr>
            <w:tcW w:w="845"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809"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543"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961" w:type="pct"/>
            <w:vMerge w:val="restart"/>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0" w:type="pct"/>
            <w:vMerge w:val="continue"/>
            <w:shd w:val="clear" w:color="auto" w:fill="auto"/>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1037"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产业经济学</w:t>
            </w:r>
          </w:p>
        </w:tc>
        <w:tc>
          <w:tcPr>
            <w:tcW w:w="650"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u w:val="single"/>
              </w:rPr>
            </w:pPr>
          </w:p>
        </w:tc>
        <w:tc>
          <w:tcPr>
            <w:tcW w:w="845"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809"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543"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961"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150" w:type="pct"/>
            <w:vMerge w:val="continue"/>
            <w:shd w:val="clear" w:color="auto" w:fill="auto"/>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1037"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国际贸易学</w:t>
            </w:r>
          </w:p>
        </w:tc>
        <w:tc>
          <w:tcPr>
            <w:tcW w:w="650"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u w:val="single"/>
              </w:rPr>
            </w:pPr>
          </w:p>
        </w:tc>
        <w:tc>
          <w:tcPr>
            <w:tcW w:w="845"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809"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lang w:val="en-US" w:eastAsia="zh-CN"/>
              </w:rPr>
            </w:pPr>
            <w:r>
              <w:rPr>
                <w:rFonts w:hint="eastAsia" w:ascii="楷体_GB2312" w:hAnsi="楷体_GB2312" w:eastAsia="楷体_GB2312" w:cs="楷体_GB2312"/>
                <w:color w:val="FF0000"/>
                <w:sz w:val="21"/>
                <w:szCs w:val="21"/>
                <w:lang w:val="en-US" w:eastAsia="zh-CN"/>
              </w:rPr>
              <w:t>国际贸易</w:t>
            </w:r>
          </w:p>
        </w:tc>
        <w:tc>
          <w:tcPr>
            <w:tcW w:w="543"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961"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color w:val="FF0000"/>
                <w:sz w:val="21"/>
                <w:szCs w:val="21"/>
              </w:rPr>
            </w:pPr>
            <w:r>
              <w:rPr>
                <w:rFonts w:hint="eastAsia" w:ascii="楷体_GB2312" w:hAnsi="楷体_GB2312" w:eastAsia="楷体_GB2312" w:cs="楷体_GB2312"/>
                <w:bCs/>
                <w:color w:val="FF0000"/>
                <w:sz w:val="21"/>
                <w:szCs w:val="21"/>
              </w:rPr>
              <w:t>国际经济学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150" w:type="pct"/>
            <w:vMerge w:val="continue"/>
            <w:shd w:val="clear" w:color="auto" w:fill="auto"/>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1037"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社会学</w:t>
            </w:r>
          </w:p>
        </w:tc>
        <w:tc>
          <w:tcPr>
            <w:tcW w:w="650"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u w:val="single"/>
              </w:rPr>
            </w:pPr>
          </w:p>
        </w:tc>
        <w:tc>
          <w:tcPr>
            <w:tcW w:w="845"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809" w:type="pct"/>
            <w:vMerge w:val="restart"/>
            <w:shd w:val="clear" w:color="auto" w:fill="FFFFFF"/>
            <w:noWrap w:val="0"/>
            <w:vAlign w:val="center"/>
          </w:tcPr>
          <w:p>
            <w:pPr>
              <w:spacing w:line="240" w:lineRule="auto"/>
              <w:ind w:firstLine="0" w:firstLineChars="0"/>
              <w:jc w:val="center"/>
              <w:rPr>
                <w:rFonts w:hint="eastAsia" w:ascii="楷体_GB2312" w:hAnsi="楷体_GB2312" w:eastAsia="楷体_GB2312" w:cs="楷体_GB2312"/>
                <w:color w:val="FF0000"/>
                <w:sz w:val="21"/>
                <w:szCs w:val="21"/>
              </w:rPr>
            </w:pPr>
            <w:r>
              <w:rPr>
                <w:rFonts w:hint="eastAsia" w:ascii="楷体_GB2312" w:hAnsi="楷体_GB2312" w:eastAsia="楷体_GB2312" w:cs="楷体_GB2312"/>
                <w:color w:val="000000"/>
                <w:sz w:val="21"/>
                <w:szCs w:val="21"/>
              </w:rPr>
              <w:t>教育人口学</w:t>
            </w:r>
          </w:p>
        </w:tc>
        <w:tc>
          <w:tcPr>
            <w:tcW w:w="543" w:type="pct"/>
            <w:vMerge w:val="restart"/>
            <w:shd w:val="clear" w:color="auto" w:fill="FFFFFF"/>
            <w:noWrap w:val="0"/>
            <w:vAlign w:val="center"/>
          </w:tcPr>
          <w:p>
            <w:pPr>
              <w:spacing w:line="240" w:lineRule="auto"/>
              <w:ind w:firstLine="0" w:firstLineChars="0"/>
              <w:jc w:val="center"/>
              <w:rPr>
                <w:rFonts w:hint="eastAsia" w:ascii="楷体_GB2312" w:hAnsi="楷体_GB2312" w:eastAsia="楷体_GB2312" w:cs="楷体_GB2312"/>
                <w:color w:val="FF0000"/>
                <w:sz w:val="21"/>
                <w:szCs w:val="21"/>
              </w:rPr>
            </w:pPr>
            <w:r>
              <w:rPr>
                <w:rFonts w:hint="eastAsia" w:ascii="楷体_GB2312" w:hAnsi="楷体_GB2312" w:eastAsia="楷体_GB2312" w:cs="楷体_GB2312"/>
                <w:bCs/>
                <w:color w:val="FF0000"/>
                <w:sz w:val="21"/>
                <w:szCs w:val="21"/>
              </w:rPr>
              <w:t>高级统计分析</w:t>
            </w:r>
          </w:p>
        </w:tc>
        <w:tc>
          <w:tcPr>
            <w:tcW w:w="961"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50" w:type="pct"/>
            <w:vMerge w:val="continue"/>
            <w:shd w:val="clear" w:color="auto" w:fill="auto"/>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1037"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人口学</w:t>
            </w:r>
          </w:p>
        </w:tc>
        <w:tc>
          <w:tcPr>
            <w:tcW w:w="650"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u w:val="single"/>
              </w:rPr>
            </w:pPr>
          </w:p>
        </w:tc>
        <w:tc>
          <w:tcPr>
            <w:tcW w:w="845"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809"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543"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961"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color w:val="FF0000"/>
                <w:sz w:val="21"/>
                <w:szCs w:val="21"/>
              </w:rPr>
            </w:pPr>
            <w:r>
              <w:rPr>
                <w:rFonts w:hint="eastAsia" w:ascii="楷体_GB2312" w:hAnsi="楷体_GB2312" w:eastAsia="楷体_GB2312" w:cs="楷体_GB2312"/>
                <w:bCs/>
                <w:color w:val="FF0000"/>
                <w:sz w:val="21"/>
                <w:szCs w:val="21"/>
              </w:rPr>
              <w:t>人口统计与信息分析技术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0" w:type="pct"/>
            <w:vMerge w:val="continue"/>
            <w:shd w:val="clear" w:color="auto" w:fill="auto"/>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1037"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民俗学</w:t>
            </w:r>
          </w:p>
        </w:tc>
        <w:tc>
          <w:tcPr>
            <w:tcW w:w="650"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u w:val="single"/>
              </w:rPr>
            </w:pPr>
          </w:p>
        </w:tc>
        <w:tc>
          <w:tcPr>
            <w:tcW w:w="845"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809"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543"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color w:val="FF0000"/>
                <w:sz w:val="21"/>
                <w:szCs w:val="21"/>
                <w:lang w:val="en-US" w:eastAsia="zh-CN"/>
              </w:rPr>
              <w:t>民俗研究理论与方法</w:t>
            </w:r>
          </w:p>
        </w:tc>
        <w:tc>
          <w:tcPr>
            <w:tcW w:w="961" w:type="pct"/>
            <w:vMerge w:val="restart"/>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0" w:type="pct"/>
            <w:vMerge w:val="continue"/>
            <w:shd w:val="clear" w:color="auto" w:fill="auto"/>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1037"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中国古代史</w:t>
            </w:r>
          </w:p>
        </w:tc>
        <w:tc>
          <w:tcPr>
            <w:tcW w:w="650"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u w:val="single"/>
              </w:rPr>
            </w:pPr>
          </w:p>
        </w:tc>
        <w:tc>
          <w:tcPr>
            <w:tcW w:w="845"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809" w:type="pct"/>
            <w:vMerge w:val="restart"/>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543"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961"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50" w:type="pct"/>
            <w:vMerge w:val="continue"/>
            <w:shd w:val="clear" w:color="auto" w:fill="auto"/>
            <w:noWrap w:val="0"/>
            <w:vAlign w:val="top"/>
          </w:tcPr>
          <w:p>
            <w:pPr>
              <w:spacing w:line="240" w:lineRule="auto"/>
              <w:ind w:firstLine="0" w:firstLineChars="0"/>
              <w:jc w:val="center"/>
              <w:rPr>
                <w:rFonts w:hint="eastAsia" w:ascii="楷体_GB2312" w:hAnsi="楷体_GB2312" w:eastAsia="楷体_GB2312" w:cs="楷体_GB2312"/>
                <w:sz w:val="21"/>
                <w:szCs w:val="21"/>
              </w:rPr>
            </w:pPr>
            <w:bookmarkStart w:id="106" w:name="OLE_LINK8" w:colFirst="2" w:colLast="2"/>
          </w:p>
        </w:tc>
        <w:tc>
          <w:tcPr>
            <w:tcW w:w="1037"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中国近现代史</w:t>
            </w:r>
          </w:p>
        </w:tc>
        <w:tc>
          <w:tcPr>
            <w:tcW w:w="650"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u w:val="single"/>
              </w:rPr>
            </w:pPr>
          </w:p>
        </w:tc>
        <w:tc>
          <w:tcPr>
            <w:tcW w:w="845"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809"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color w:val="000000"/>
                <w:sz w:val="21"/>
                <w:szCs w:val="21"/>
              </w:rPr>
            </w:pPr>
          </w:p>
        </w:tc>
        <w:tc>
          <w:tcPr>
            <w:tcW w:w="543"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bCs/>
                <w:color w:val="FF0000"/>
                <w:sz w:val="21"/>
                <w:szCs w:val="21"/>
              </w:rPr>
            </w:pPr>
            <w:r>
              <w:rPr>
                <w:rFonts w:hint="eastAsia" w:ascii="楷体_GB2312" w:hAnsi="楷体_GB2312" w:eastAsia="楷体_GB2312" w:cs="楷体_GB2312"/>
                <w:bCs/>
                <w:color w:val="FF0000"/>
                <w:sz w:val="21"/>
                <w:szCs w:val="21"/>
              </w:rPr>
              <w:t>中国近现代</w:t>
            </w:r>
          </w:p>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bCs/>
                <w:color w:val="FF0000"/>
                <w:sz w:val="21"/>
                <w:szCs w:val="21"/>
              </w:rPr>
              <w:t>史料与史学</w:t>
            </w:r>
          </w:p>
        </w:tc>
        <w:tc>
          <w:tcPr>
            <w:tcW w:w="961"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150" w:type="pct"/>
            <w:vMerge w:val="continue"/>
            <w:shd w:val="clear" w:color="auto" w:fill="auto"/>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1037"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专门史</w:t>
            </w:r>
          </w:p>
        </w:tc>
        <w:tc>
          <w:tcPr>
            <w:tcW w:w="650"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u w:val="single"/>
              </w:rPr>
            </w:pPr>
          </w:p>
        </w:tc>
        <w:tc>
          <w:tcPr>
            <w:tcW w:w="845"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809"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color w:val="000000"/>
                <w:sz w:val="21"/>
                <w:szCs w:val="21"/>
              </w:rPr>
            </w:pPr>
            <w:r>
              <w:rPr>
                <w:rFonts w:hint="eastAsia" w:ascii="楷体_GB2312" w:hAnsi="楷体_GB2312" w:eastAsia="楷体_GB2312" w:cs="楷体_GB2312"/>
                <w:color w:val="FF0000"/>
                <w:sz w:val="21"/>
                <w:szCs w:val="21"/>
                <w:lang w:val="en-US" w:eastAsia="zh-CN"/>
              </w:rPr>
              <w:t>近代</w:t>
            </w:r>
            <w:r>
              <w:rPr>
                <w:rFonts w:hint="eastAsia" w:ascii="楷体_GB2312" w:hAnsi="楷体_GB2312" w:eastAsia="楷体_GB2312" w:cs="楷体_GB2312"/>
                <w:color w:val="FF0000"/>
                <w:sz w:val="21"/>
                <w:szCs w:val="21"/>
              </w:rPr>
              <w:t>珠三角开发史</w:t>
            </w:r>
          </w:p>
        </w:tc>
        <w:tc>
          <w:tcPr>
            <w:tcW w:w="543" w:type="pct"/>
            <w:shd w:val="clear" w:color="auto" w:fill="FFFFFF"/>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bCs/>
                <w:color w:val="auto"/>
                <w:sz w:val="21"/>
                <w:szCs w:val="21"/>
                <w:lang w:val="en-US" w:eastAsia="zh-CN"/>
              </w:rPr>
              <w:t>海洋史专题</w:t>
            </w:r>
          </w:p>
        </w:tc>
        <w:tc>
          <w:tcPr>
            <w:tcW w:w="961" w:type="pct"/>
            <w:vMerge w:val="continue"/>
            <w:shd w:val="clear" w:color="auto" w:fill="FFFFFF"/>
            <w:noWrap w:val="0"/>
            <w:vAlign w:val="center"/>
          </w:tcPr>
          <w:p>
            <w:pPr>
              <w:spacing w:line="240" w:lineRule="auto"/>
              <w:ind w:firstLine="0" w:firstLineChars="0"/>
              <w:jc w:val="center"/>
              <w:rPr>
                <w:rFonts w:hint="eastAsia" w:ascii="楷体_GB2312" w:hAnsi="楷体_GB2312" w:eastAsia="楷体_GB2312" w:cs="楷体_GB2312"/>
                <w:color w:val="FF0000"/>
                <w:sz w:val="21"/>
                <w:szCs w:val="21"/>
              </w:rPr>
            </w:pPr>
          </w:p>
        </w:tc>
      </w:tr>
      <w:bookmarkEnd w:id="106"/>
    </w:tbl>
    <w:p>
      <w:pPr>
        <w:spacing w:before="157" w:beforeLines="50"/>
        <w:ind w:firstLine="420"/>
        <w:rPr>
          <w:rFonts w:eastAsia="仿宋"/>
          <w:color w:val="000000"/>
          <w:sz w:val="21"/>
          <w:szCs w:val="21"/>
        </w:rPr>
        <w:sectPr>
          <w:footnotePr>
            <w:numFmt w:val="decimalEnclosedCircleChinese"/>
            <w:numRestart w:val="eachPage"/>
          </w:footnote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eastAsia="仿宋"/>
          <w:color w:val="000000"/>
          <w:sz w:val="21"/>
          <w:szCs w:val="21"/>
        </w:rPr>
        <w:t>注：红色字体部分为公共学位课或学位必修课；黑色字体为选修课</w:t>
      </w:r>
      <w:r>
        <w:rPr>
          <w:rFonts w:eastAsia="仿宋"/>
          <w:color w:val="000000"/>
          <w:sz w:val="21"/>
          <w:szCs w:val="21"/>
        </w:rPr>
        <w:t>。</w:t>
      </w:r>
    </w:p>
    <w:p>
      <w:pPr>
        <w:pStyle w:val="6"/>
        <w:keepNext w:val="0"/>
        <w:keepLines w:val="0"/>
        <w:spacing w:beforeLines="0" w:after="157" w:afterLines="50" w:line="240" w:lineRule="auto"/>
        <w:rPr>
          <w:rFonts w:hint="default" w:ascii="Times New Roman" w:hAnsi="Times New Roman" w:eastAsia="宋体" w:cs="Times New Roman"/>
          <w:b/>
          <w:bCs w:val="0"/>
          <w:sz w:val="21"/>
        </w:rPr>
      </w:pPr>
      <w:r>
        <w:rPr>
          <w:rFonts w:hint="default" w:ascii="Times New Roman" w:hAnsi="Times New Roman" w:eastAsia="宋体" w:cs="Times New Roman"/>
          <w:b/>
          <w:bCs w:val="0"/>
          <w:sz w:val="21"/>
        </w:rPr>
        <w:t>表</w:t>
      </w:r>
      <w:r>
        <w:rPr>
          <w:rFonts w:hint="default" w:ascii="Times New Roman" w:hAnsi="Times New Roman" w:eastAsia="宋体" w:cs="Times New Roman"/>
          <w:b/>
          <w:bCs w:val="0"/>
          <w:sz w:val="21"/>
          <w:lang w:val="en-US" w:eastAsia="zh-CN"/>
        </w:rPr>
        <w:t>10</w:t>
      </w:r>
      <w:r>
        <w:rPr>
          <w:rFonts w:hint="default" w:ascii="Times New Roman" w:hAnsi="Times New Roman" w:eastAsia="宋体" w:cs="Times New Roman"/>
          <w:b/>
          <w:bCs w:val="0"/>
          <w:sz w:val="21"/>
        </w:rPr>
        <w:t xml:space="preserve">  202</w:t>
      </w:r>
      <w:r>
        <w:rPr>
          <w:rFonts w:hint="default" w:ascii="Times New Roman" w:hAnsi="Times New Roman" w:eastAsia="宋体" w:cs="Times New Roman"/>
          <w:b/>
          <w:bCs w:val="0"/>
          <w:sz w:val="21"/>
          <w:lang w:val="en-US" w:eastAsia="zh-CN"/>
        </w:rPr>
        <w:t>3</w:t>
      </w:r>
      <w:r>
        <w:rPr>
          <w:rFonts w:hint="default" w:ascii="Times New Roman" w:hAnsi="Times New Roman" w:eastAsia="宋体" w:cs="Times New Roman"/>
          <w:b/>
          <w:bCs w:val="0"/>
          <w:sz w:val="21"/>
        </w:rPr>
        <w:t>年秋季学</w:t>
      </w:r>
      <w:r>
        <w:rPr>
          <w:rFonts w:hint="eastAsia" w:ascii="Times New Roman" w:hAnsi="Times New Roman" w:cs="Times New Roman"/>
          <w:b/>
          <w:bCs w:val="0"/>
          <w:sz w:val="21"/>
          <w:lang w:eastAsia="zh-CN"/>
        </w:rPr>
        <w:t>期</w:t>
      </w:r>
      <w:r>
        <w:rPr>
          <w:rFonts w:hint="default" w:ascii="Times New Roman" w:hAnsi="Times New Roman" w:eastAsia="宋体" w:cs="Times New Roman"/>
          <w:b/>
          <w:bCs w:val="0"/>
          <w:sz w:val="21"/>
        </w:rPr>
        <w:t>课程表</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692"/>
        <w:gridCol w:w="2525"/>
        <w:gridCol w:w="2213"/>
        <w:gridCol w:w="2451"/>
        <w:gridCol w:w="2097"/>
        <w:gridCol w:w="2295"/>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244" w:type="pct"/>
            <w:vMerge w:val="restart"/>
            <w:shd w:val="clear" w:color="auto" w:fill="FFFFFF" w:themeFill="background1"/>
            <w:noWrap w:val="0"/>
            <w:vAlign w:val="center"/>
          </w:tcPr>
          <w:p>
            <w:pPr>
              <w:spacing w:line="240" w:lineRule="auto"/>
              <w:ind w:firstLine="0" w:firstLineChars="0"/>
              <w:rPr>
                <w:rFonts w:hint="eastAsia" w:ascii="楷体_GB2312" w:hAnsi="楷体_GB2312" w:eastAsia="楷体_GB2312" w:cs="楷体_GB2312"/>
                <w:sz w:val="21"/>
                <w:szCs w:val="21"/>
                <w:lang w:val="en-US" w:eastAsia="zh-CN"/>
              </w:rPr>
            </w:pPr>
            <w:r>
              <w:rPr>
                <w:rFonts w:hint="eastAsia" w:ascii="楷体_GB2312" w:hAnsi="楷体_GB2312" w:eastAsia="楷体_GB2312" w:cs="楷体_GB2312"/>
                <w:sz w:val="21"/>
                <w:szCs w:val="21"/>
                <w:lang w:val="en-US" w:eastAsia="zh-CN"/>
              </w:rPr>
              <w:t>上</w:t>
            </w:r>
          </w:p>
          <w:p>
            <w:pPr>
              <w:pStyle w:val="20"/>
              <w:spacing w:line="240" w:lineRule="auto"/>
              <w:rPr>
                <w:rFonts w:hint="eastAsia" w:ascii="楷体_GB2312" w:hAnsi="楷体_GB2312" w:eastAsia="楷体_GB2312" w:cs="楷体_GB2312"/>
                <w:lang w:eastAsia="zh-CN"/>
              </w:rPr>
            </w:pPr>
          </w:p>
          <w:p>
            <w:pPr>
              <w:spacing w:line="240" w:lineRule="auto"/>
              <w:ind w:firstLine="0" w:firstLineChars="0"/>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午</w:t>
            </w:r>
          </w:p>
        </w:tc>
        <w:tc>
          <w:tcPr>
            <w:tcW w:w="890" w:type="pct"/>
            <w:shd w:val="clear" w:color="auto" w:fill="FFFFFF" w:themeFill="background1"/>
            <w:noWrap w:val="0"/>
            <w:vAlign w:val="top"/>
          </w:tcPr>
          <w:p>
            <w:pPr>
              <w:spacing w:line="240" w:lineRule="auto"/>
              <w:ind w:firstLine="0" w:firstLineChars="0"/>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专业</w:t>
            </w:r>
          </w:p>
        </w:tc>
        <w:tc>
          <w:tcPr>
            <w:tcW w:w="780" w:type="pct"/>
            <w:shd w:val="clear" w:color="auto" w:fill="FFFFFF" w:themeFill="background1"/>
            <w:noWrap w:val="0"/>
            <w:vAlign w:val="top"/>
          </w:tcPr>
          <w:p>
            <w:pPr>
              <w:spacing w:line="240" w:lineRule="auto"/>
              <w:ind w:firstLine="0" w:firstLineChars="0"/>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星期一</w:t>
            </w:r>
          </w:p>
        </w:tc>
        <w:tc>
          <w:tcPr>
            <w:tcW w:w="864" w:type="pct"/>
            <w:shd w:val="clear" w:color="auto" w:fill="FFFFFF" w:themeFill="background1"/>
            <w:noWrap w:val="0"/>
            <w:vAlign w:val="top"/>
          </w:tcPr>
          <w:p>
            <w:pPr>
              <w:spacing w:line="240" w:lineRule="auto"/>
              <w:ind w:firstLine="0" w:firstLineChars="0"/>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星期二</w:t>
            </w:r>
          </w:p>
        </w:tc>
        <w:tc>
          <w:tcPr>
            <w:tcW w:w="739" w:type="pct"/>
            <w:shd w:val="clear" w:color="auto" w:fill="FFFFFF" w:themeFill="background1"/>
            <w:noWrap w:val="0"/>
            <w:vAlign w:val="top"/>
          </w:tcPr>
          <w:p>
            <w:pPr>
              <w:spacing w:line="240" w:lineRule="auto"/>
              <w:ind w:firstLine="0" w:firstLineChars="0"/>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星期三</w:t>
            </w:r>
          </w:p>
        </w:tc>
        <w:tc>
          <w:tcPr>
            <w:tcW w:w="809" w:type="pct"/>
            <w:shd w:val="clear" w:color="auto" w:fill="FFFFFF" w:themeFill="background1"/>
            <w:noWrap w:val="0"/>
            <w:vAlign w:val="top"/>
          </w:tcPr>
          <w:p>
            <w:pPr>
              <w:spacing w:line="240" w:lineRule="auto"/>
              <w:ind w:firstLine="0" w:firstLineChars="0"/>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星期四</w:t>
            </w:r>
          </w:p>
        </w:tc>
        <w:tc>
          <w:tcPr>
            <w:tcW w:w="670" w:type="pct"/>
            <w:shd w:val="clear" w:color="auto" w:fill="FFFFFF" w:themeFill="background1"/>
            <w:noWrap w:val="0"/>
            <w:vAlign w:val="top"/>
          </w:tcPr>
          <w:p>
            <w:pPr>
              <w:spacing w:line="240" w:lineRule="auto"/>
              <w:ind w:firstLine="0" w:firstLineChars="0"/>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星期五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4" w:type="pct"/>
            <w:vMerge w:val="continue"/>
            <w:shd w:val="clear" w:color="auto" w:fill="FFFFFF" w:themeFill="background1"/>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890"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政治经济学</w:t>
            </w:r>
          </w:p>
        </w:tc>
        <w:tc>
          <w:tcPr>
            <w:tcW w:w="780" w:type="pct"/>
            <w:vMerge w:val="restar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FF0000"/>
                <w:sz w:val="21"/>
                <w:szCs w:val="21"/>
              </w:rPr>
            </w:pPr>
            <w:r>
              <w:rPr>
                <w:rFonts w:hint="eastAsia" w:ascii="楷体_GB2312" w:hAnsi="楷体_GB2312" w:eastAsia="楷体_GB2312" w:cs="楷体_GB2312"/>
                <w:color w:val="FF0000"/>
                <w:sz w:val="21"/>
                <w:szCs w:val="21"/>
                <w:lang w:val="en-US" w:eastAsia="zh-CN"/>
              </w:rPr>
              <w:t>发展经济学</w:t>
            </w:r>
          </w:p>
        </w:tc>
        <w:tc>
          <w:tcPr>
            <w:tcW w:w="864" w:type="pct"/>
            <w:vMerge w:val="restar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000000"/>
                <w:sz w:val="21"/>
                <w:szCs w:val="21"/>
              </w:rPr>
            </w:pPr>
            <w:r>
              <w:rPr>
                <w:rFonts w:hint="eastAsia" w:ascii="楷体_GB2312" w:hAnsi="楷体_GB2312" w:eastAsia="楷体_GB2312" w:cs="楷体_GB2312"/>
                <w:color w:val="FF0000"/>
                <w:sz w:val="21"/>
                <w:szCs w:val="21"/>
                <w:lang w:val="en-US" w:eastAsia="zh-CN"/>
              </w:rPr>
              <w:t>英语一</w:t>
            </w:r>
          </w:p>
        </w:tc>
        <w:tc>
          <w:tcPr>
            <w:tcW w:w="739" w:type="pct"/>
            <w:vMerge w:val="restar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000000"/>
                <w:sz w:val="21"/>
                <w:szCs w:val="21"/>
              </w:rPr>
            </w:pPr>
            <w:r>
              <w:rPr>
                <w:rFonts w:hint="eastAsia" w:ascii="楷体_GB2312" w:hAnsi="楷体_GB2312" w:eastAsia="楷体_GB2312" w:cs="楷体_GB2312"/>
                <w:color w:val="FF0000"/>
                <w:sz w:val="21"/>
                <w:szCs w:val="21"/>
                <w:lang w:val="en-US" w:eastAsia="zh-CN"/>
              </w:rPr>
              <w:t>论文写作指导</w:t>
            </w:r>
          </w:p>
        </w:tc>
        <w:tc>
          <w:tcPr>
            <w:tcW w:w="809"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color w:val="FF0000"/>
                <w:sz w:val="21"/>
                <w:szCs w:val="21"/>
              </w:rPr>
              <w:t>中国特色社会主义政治经济学</w:t>
            </w:r>
          </w:p>
        </w:tc>
        <w:tc>
          <w:tcPr>
            <w:tcW w:w="670" w:type="pct"/>
            <w:vMerge w:val="restar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highlight w:val="yellow"/>
                <w:u w:val="single"/>
              </w:rPr>
            </w:pPr>
            <w:r>
              <w:rPr>
                <w:rFonts w:hint="eastAsia" w:ascii="楷体_GB2312" w:hAnsi="楷体_GB2312" w:eastAsia="楷体_GB2312" w:cs="楷体_GB2312"/>
                <w:color w:val="auto"/>
                <w:sz w:val="21"/>
                <w:szCs w:val="21"/>
                <w:u w:val="none"/>
                <w:lang w:val="en-US" w:eastAsia="zh-CN"/>
              </w:rPr>
              <w:t>公共经济学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44" w:type="pct"/>
            <w:vMerge w:val="continue"/>
            <w:shd w:val="clear" w:color="auto" w:fill="FFFFFF" w:themeFill="background1"/>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890"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西方经济学</w:t>
            </w:r>
          </w:p>
        </w:tc>
        <w:tc>
          <w:tcPr>
            <w:tcW w:w="780"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FF0000"/>
                <w:sz w:val="21"/>
                <w:szCs w:val="21"/>
              </w:rPr>
            </w:pPr>
          </w:p>
        </w:tc>
        <w:tc>
          <w:tcPr>
            <w:tcW w:w="864"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000000"/>
                <w:sz w:val="21"/>
                <w:szCs w:val="21"/>
              </w:rPr>
            </w:pPr>
          </w:p>
        </w:tc>
        <w:tc>
          <w:tcPr>
            <w:tcW w:w="739"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000000"/>
                <w:sz w:val="21"/>
                <w:szCs w:val="21"/>
              </w:rPr>
            </w:pPr>
          </w:p>
        </w:tc>
        <w:tc>
          <w:tcPr>
            <w:tcW w:w="809" w:type="pct"/>
            <w:vMerge w:val="restar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670"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highlight w:val="yellow"/>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4" w:hRule="atLeast"/>
        </w:trPr>
        <w:tc>
          <w:tcPr>
            <w:tcW w:w="244" w:type="pct"/>
            <w:vMerge w:val="continue"/>
            <w:shd w:val="clear" w:color="auto" w:fill="FFFFFF" w:themeFill="background1"/>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890"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人口、资源与环境经济学</w:t>
            </w:r>
          </w:p>
        </w:tc>
        <w:tc>
          <w:tcPr>
            <w:tcW w:w="780"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FF0000"/>
                <w:sz w:val="21"/>
                <w:szCs w:val="21"/>
              </w:rPr>
            </w:pPr>
          </w:p>
        </w:tc>
        <w:tc>
          <w:tcPr>
            <w:tcW w:w="864"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000000"/>
                <w:sz w:val="21"/>
                <w:szCs w:val="21"/>
              </w:rPr>
            </w:pPr>
          </w:p>
        </w:tc>
        <w:tc>
          <w:tcPr>
            <w:tcW w:w="739"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000000"/>
                <w:sz w:val="21"/>
                <w:szCs w:val="21"/>
              </w:rPr>
            </w:pPr>
          </w:p>
        </w:tc>
        <w:tc>
          <w:tcPr>
            <w:tcW w:w="809"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670"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highlight w:val="yellow"/>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0" w:hRule="atLeast"/>
        </w:trPr>
        <w:tc>
          <w:tcPr>
            <w:tcW w:w="244" w:type="pct"/>
            <w:vMerge w:val="continue"/>
            <w:shd w:val="clear" w:color="auto" w:fill="FFFFFF" w:themeFill="background1"/>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890"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区域经济学</w:t>
            </w:r>
          </w:p>
        </w:tc>
        <w:tc>
          <w:tcPr>
            <w:tcW w:w="780" w:type="pct"/>
            <w:vMerge w:val="restar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FF0000"/>
                <w:sz w:val="21"/>
                <w:szCs w:val="21"/>
              </w:rPr>
            </w:pPr>
          </w:p>
        </w:tc>
        <w:tc>
          <w:tcPr>
            <w:tcW w:w="864"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000000"/>
                <w:sz w:val="21"/>
                <w:szCs w:val="21"/>
              </w:rPr>
            </w:pPr>
          </w:p>
        </w:tc>
        <w:tc>
          <w:tcPr>
            <w:tcW w:w="739"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000000"/>
                <w:sz w:val="21"/>
                <w:szCs w:val="21"/>
              </w:rPr>
            </w:pPr>
          </w:p>
        </w:tc>
        <w:tc>
          <w:tcPr>
            <w:tcW w:w="809"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FF0000"/>
                <w:sz w:val="21"/>
                <w:szCs w:val="21"/>
              </w:rPr>
            </w:pPr>
            <w:r>
              <w:rPr>
                <w:rFonts w:hint="eastAsia" w:ascii="楷体_GB2312" w:hAnsi="楷体_GB2312" w:eastAsia="楷体_GB2312" w:cs="楷体_GB2312"/>
                <w:color w:val="FF0000"/>
                <w:sz w:val="21"/>
                <w:szCs w:val="21"/>
              </w:rPr>
              <w:t>区域分析理论与</w:t>
            </w:r>
          </w:p>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color w:val="FF0000"/>
                <w:sz w:val="21"/>
                <w:szCs w:val="21"/>
              </w:rPr>
              <w:t>实践</w:t>
            </w:r>
          </w:p>
        </w:tc>
        <w:tc>
          <w:tcPr>
            <w:tcW w:w="670" w:type="pct"/>
            <w:vMerge w:val="restar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highlight w:val="yellow"/>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4" w:type="pct"/>
            <w:vMerge w:val="continue"/>
            <w:shd w:val="clear" w:color="auto" w:fill="FFFFFF" w:themeFill="background1"/>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890"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金融学</w:t>
            </w:r>
          </w:p>
        </w:tc>
        <w:tc>
          <w:tcPr>
            <w:tcW w:w="780"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864"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000000"/>
                <w:sz w:val="21"/>
                <w:szCs w:val="21"/>
              </w:rPr>
            </w:pPr>
          </w:p>
        </w:tc>
        <w:tc>
          <w:tcPr>
            <w:tcW w:w="739"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000000"/>
                <w:sz w:val="21"/>
                <w:szCs w:val="21"/>
              </w:rPr>
            </w:pPr>
          </w:p>
        </w:tc>
        <w:tc>
          <w:tcPr>
            <w:tcW w:w="809" w:type="pct"/>
            <w:vMerge w:val="restart"/>
            <w:tcBorders>
              <w:right w:val="single" w:color="000000" w:sz="4" w:space="0"/>
            </w:tcBorders>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670" w:type="pct"/>
            <w:vMerge w:val="continue"/>
            <w:tcBorders>
              <w:bottom w:val="single" w:color="000000" w:sz="4" w:space="0"/>
            </w:tcBorders>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highlight w:val="yellow"/>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7" w:hRule="atLeast"/>
        </w:trPr>
        <w:tc>
          <w:tcPr>
            <w:tcW w:w="244" w:type="pct"/>
            <w:vMerge w:val="continue"/>
            <w:shd w:val="clear" w:color="auto" w:fill="FFFFFF" w:themeFill="background1"/>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890"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产业经济学</w:t>
            </w:r>
          </w:p>
        </w:tc>
        <w:tc>
          <w:tcPr>
            <w:tcW w:w="780"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864"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000000"/>
                <w:sz w:val="21"/>
                <w:szCs w:val="21"/>
                <w:u w:val="single"/>
              </w:rPr>
            </w:pPr>
          </w:p>
        </w:tc>
        <w:tc>
          <w:tcPr>
            <w:tcW w:w="739"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000000"/>
                <w:sz w:val="21"/>
                <w:szCs w:val="21"/>
              </w:rPr>
            </w:pPr>
          </w:p>
        </w:tc>
        <w:tc>
          <w:tcPr>
            <w:tcW w:w="809" w:type="pct"/>
            <w:vMerge w:val="continue"/>
            <w:tcBorders>
              <w:right w:val="single" w:color="000000" w:sz="4" w:space="0"/>
            </w:tcBorders>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670" w:type="pct"/>
            <w:tcBorders>
              <w:top w:val="single" w:color="000000" w:sz="4" w:space="0"/>
            </w:tcBorders>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highlight w:val="yellow"/>
                <w:u w:val="single"/>
              </w:rPr>
            </w:pPr>
            <w:r>
              <w:rPr>
                <w:rFonts w:hint="eastAsia" w:ascii="楷体_GB2312" w:hAnsi="楷体_GB2312" w:eastAsia="楷体_GB2312" w:cs="楷体_GB2312"/>
                <w:color w:val="FF0000"/>
                <w:sz w:val="21"/>
                <w:szCs w:val="21"/>
              </w:rPr>
              <w:t>产业经济学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4" w:type="pct"/>
            <w:vMerge w:val="continue"/>
            <w:shd w:val="clear" w:color="auto" w:fill="FFFFFF" w:themeFill="background1"/>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890"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国际贸易学</w:t>
            </w:r>
          </w:p>
        </w:tc>
        <w:tc>
          <w:tcPr>
            <w:tcW w:w="780"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864"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000000"/>
                <w:sz w:val="21"/>
                <w:szCs w:val="21"/>
                <w:u w:val="single"/>
              </w:rPr>
            </w:pPr>
          </w:p>
        </w:tc>
        <w:tc>
          <w:tcPr>
            <w:tcW w:w="739"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000000"/>
                <w:sz w:val="21"/>
                <w:szCs w:val="21"/>
              </w:rPr>
            </w:pPr>
          </w:p>
        </w:tc>
        <w:tc>
          <w:tcPr>
            <w:tcW w:w="809" w:type="pct"/>
            <w:vMerge w:val="continue"/>
            <w:tcBorders>
              <w:right w:val="single" w:color="000000" w:sz="4" w:space="0"/>
            </w:tcBorders>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670"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highlight w:val="yellow"/>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7" w:hRule="atLeast"/>
        </w:trPr>
        <w:tc>
          <w:tcPr>
            <w:tcW w:w="244" w:type="pct"/>
            <w:vMerge w:val="continue"/>
            <w:shd w:val="clear" w:color="auto" w:fill="FFFFFF" w:themeFill="background1"/>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890"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社会学</w:t>
            </w:r>
          </w:p>
        </w:tc>
        <w:tc>
          <w:tcPr>
            <w:tcW w:w="780"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FF0000"/>
                <w:sz w:val="21"/>
                <w:szCs w:val="21"/>
              </w:rPr>
            </w:pPr>
          </w:p>
        </w:tc>
        <w:tc>
          <w:tcPr>
            <w:tcW w:w="864"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000000"/>
                <w:sz w:val="21"/>
                <w:szCs w:val="21"/>
                <w:u w:val="single"/>
              </w:rPr>
            </w:pPr>
          </w:p>
        </w:tc>
        <w:tc>
          <w:tcPr>
            <w:tcW w:w="739"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000000"/>
                <w:sz w:val="21"/>
                <w:szCs w:val="21"/>
              </w:rPr>
            </w:pPr>
          </w:p>
        </w:tc>
        <w:tc>
          <w:tcPr>
            <w:tcW w:w="809" w:type="pct"/>
            <w:vMerge w:val="restar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color w:val="auto"/>
                <w:sz w:val="21"/>
                <w:szCs w:val="21"/>
                <w:lang w:val="en-US" w:eastAsia="zh-CN"/>
              </w:rPr>
              <w:t>移民社会学</w:t>
            </w:r>
          </w:p>
        </w:tc>
        <w:tc>
          <w:tcPr>
            <w:tcW w:w="670" w:type="pct"/>
            <w:vMerge w:val="restar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FF0000"/>
                <w:sz w:val="21"/>
                <w:szCs w:val="21"/>
                <w:highlight w:val="yellow"/>
              </w:rPr>
            </w:pPr>
            <w:r>
              <w:rPr>
                <w:rFonts w:hint="eastAsia" w:ascii="楷体_GB2312" w:hAnsi="楷体_GB2312" w:eastAsia="楷体_GB2312" w:cs="楷体_GB2312"/>
                <w:color w:val="FF0000"/>
                <w:sz w:val="21"/>
                <w:szCs w:val="21"/>
              </w:rPr>
              <w:t>社会学</w:t>
            </w:r>
            <w:r>
              <w:rPr>
                <w:rFonts w:hint="eastAsia" w:ascii="楷体_GB2312" w:hAnsi="楷体_GB2312" w:eastAsia="楷体_GB2312" w:cs="楷体_GB2312"/>
                <w:color w:val="FF0000"/>
                <w:sz w:val="21"/>
                <w:szCs w:val="21"/>
                <w:lang w:val="en-US" w:eastAsia="zh-CN"/>
              </w:rPr>
              <w:t>前沿专题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76" w:hRule="atLeast"/>
        </w:trPr>
        <w:tc>
          <w:tcPr>
            <w:tcW w:w="244" w:type="pct"/>
            <w:vMerge w:val="continue"/>
            <w:shd w:val="clear" w:color="auto" w:fill="FFFFFF" w:themeFill="background1"/>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890"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人口学</w:t>
            </w:r>
          </w:p>
        </w:tc>
        <w:tc>
          <w:tcPr>
            <w:tcW w:w="780"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FF0000"/>
                <w:sz w:val="21"/>
                <w:szCs w:val="21"/>
              </w:rPr>
            </w:pPr>
          </w:p>
        </w:tc>
        <w:tc>
          <w:tcPr>
            <w:tcW w:w="864"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FF0000"/>
                <w:sz w:val="21"/>
                <w:szCs w:val="21"/>
                <w:lang w:val="en-US" w:eastAsia="zh-CN"/>
              </w:rPr>
            </w:pPr>
            <w:r>
              <w:rPr>
                <w:rFonts w:hint="eastAsia" w:ascii="楷体_GB2312" w:hAnsi="楷体_GB2312" w:eastAsia="楷体_GB2312" w:cs="楷体_GB2312"/>
                <w:color w:val="FF0000"/>
                <w:sz w:val="21"/>
                <w:szCs w:val="21"/>
              </w:rPr>
              <w:t>人口</w:t>
            </w:r>
            <w:r>
              <w:rPr>
                <w:rFonts w:hint="eastAsia" w:ascii="楷体_GB2312" w:hAnsi="楷体_GB2312" w:eastAsia="楷体_GB2312" w:cs="楷体_GB2312"/>
                <w:color w:val="FF0000"/>
                <w:sz w:val="21"/>
                <w:szCs w:val="21"/>
                <w:lang w:val="en-US" w:eastAsia="zh-CN"/>
              </w:rPr>
              <w:t>学前沿专题（研二）</w:t>
            </w:r>
          </w:p>
          <w:p>
            <w:pPr>
              <w:spacing w:line="240" w:lineRule="auto"/>
              <w:ind w:firstLine="0" w:firstLineChars="0"/>
              <w:jc w:val="center"/>
              <w:rPr>
                <w:rFonts w:hint="default" w:ascii="楷体_GB2312" w:hAnsi="楷体_GB2312" w:eastAsia="楷体_GB2312" w:cs="楷体_GB2312"/>
                <w:color w:val="FF0000"/>
                <w:sz w:val="21"/>
                <w:szCs w:val="21"/>
                <w:u w:val="none"/>
              </w:rPr>
            </w:pPr>
            <w:r>
              <w:rPr>
                <w:rFonts w:hint="eastAsia" w:ascii="楷体_GB2312" w:hAnsi="楷体_GB2312" w:eastAsia="楷体_GB2312" w:cs="楷体_GB2312"/>
                <w:color w:val="FF0000"/>
                <w:sz w:val="21"/>
                <w:szCs w:val="21"/>
                <w:lang w:val="en-US" w:eastAsia="zh-CN"/>
              </w:rPr>
              <w:t>英语一（研一）</w:t>
            </w:r>
          </w:p>
        </w:tc>
        <w:tc>
          <w:tcPr>
            <w:tcW w:w="739"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000000"/>
                <w:sz w:val="21"/>
                <w:szCs w:val="21"/>
              </w:rPr>
            </w:pPr>
            <w:r>
              <w:rPr>
                <w:rFonts w:hint="eastAsia" w:ascii="楷体_GB2312" w:hAnsi="楷体_GB2312" w:eastAsia="楷体_GB2312" w:cs="楷体_GB2312"/>
                <w:color w:val="FF0000"/>
                <w:sz w:val="21"/>
                <w:szCs w:val="21"/>
                <w:lang w:val="en-US" w:eastAsia="zh-CN"/>
              </w:rPr>
              <w:t>人口</w:t>
            </w:r>
            <w:r>
              <w:rPr>
                <w:rFonts w:hint="eastAsia" w:ascii="楷体_GB2312" w:hAnsi="楷体_GB2312" w:eastAsia="楷体_GB2312" w:cs="楷体_GB2312"/>
                <w:color w:val="FF0000"/>
                <w:sz w:val="21"/>
                <w:szCs w:val="21"/>
              </w:rPr>
              <w:t>理论</w:t>
            </w:r>
          </w:p>
        </w:tc>
        <w:tc>
          <w:tcPr>
            <w:tcW w:w="809"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670"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highlight w:val="yellow"/>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244" w:type="pct"/>
            <w:vMerge w:val="continue"/>
            <w:shd w:val="clear" w:color="auto" w:fill="FFFFFF" w:themeFill="background1"/>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890"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民俗学</w:t>
            </w:r>
          </w:p>
        </w:tc>
        <w:tc>
          <w:tcPr>
            <w:tcW w:w="780"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FF0000"/>
                <w:sz w:val="21"/>
                <w:szCs w:val="21"/>
              </w:rPr>
            </w:pPr>
          </w:p>
        </w:tc>
        <w:tc>
          <w:tcPr>
            <w:tcW w:w="864" w:type="pct"/>
            <w:vMerge w:val="restar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u w:val="single"/>
              </w:rPr>
            </w:pPr>
            <w:r>
              <w:rPr>
                <w:rFonts w:hint="eastAsia" w:ascii="楷体_GB2312" w:hAnsi="楷体_GB2312" w:eastAsia="楷体_GB2312" w:cs="楷体_GB2312"/>
                <w:color w:val="FF0000"/>
                <w:sz w:val="21"/>
                <w:szCs w:val="21"/>
                <w:lang w:val="en-US" w:eastAsia="zh-CN"/>
              </w:rPr>
              <w:t>英语一</w:t>
            </w:r>
          </w:p>
        </w:tc>
        <w:tc>
          <w:tcPr>
            <w:tcW w:w="739"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000000"/>
                <w:sz w:val="21"/>
                <w:szCs w:val="21"/>
              </w:rPr>
            </w:pPr>
          </w:p>
        </w:tc>
        <w:tc>
          <w:tcPr>
            <w:tcW w:w="809"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670"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highlight w:val="yellow"/>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44" w:type="pct"/>
            <w:vMerge w:val="continue"/>
            <w:shd w:val="clear" w:color="auto" w:fill="FFFFFF" w:themeFill="background1"/>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890"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中国古代史</w:t>
            </w:r>
          </w:p>
        </w:tc>
        <w:tc>
          <w:tcPr>
            <w:tcW w:w="780"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FF0000"/>
                <w:sz w:val="21"/>
                <w:szCs w:val="21"/>
              </w:rPr>
            </w:pPr>
          </w:p>
        </w:tc>
        <w:tc>
          <w:tcPr>
            <w:tcW w:w="864"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000000"/>
                <w:sz w:val="21"/>
                <w:szCs w:val="21"/>
                <w:u w:val="single"/>
              </w:rPr>
            </w:pPr>
          </w:p>
        </w:tc>
        <w:tc>
          <w:tcPr>
            <w:tcW w:w="739" w:type="pct"/>
            <w:vMerge w:val="restar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color w:val="FF0000"/>
                <w:sz w:val="21"/>
                <w:szCs w:val="21"/>
                <w:lang w:val="en-US" w:eastAsia="zh-CN"/>
              </w:rPr>
              <w:t>中国近现代史</w:t>
            </w:r>
          </w:p>
        </w:tc>
        <w:tc>
          <w:tcPr>
            <w:tcW w:w="809"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color w:val="FF0000"/>
                <w:sz w:val="21"/>
                <w:szCs w:val="21"/>
                <w:lang w:val="en-US" w:eastAsia="zh-CN"/>
              </w:rPr>
              <w:t>明清史</w:t>
            </w:r>
          </w:p>
        </w:tc>
        <w:tc>
          <w:tcPr>
            <w:tcW w:w="670" w:type="pct"/>
            <w:vMerge w:val="restar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p>
          <w:p>
            <w:pPr>
              <w:spacing w:line="240" w:lineRule="auto"/>
              <w:ind w:firstLine="0" w:firstLineChars="0"/>
              <w:jc w:val="center"/>
              <w:rPr>
                <w:rFonts w:hint="eastAsia" w:ascii="楷体_GB2312" w:hAnsi="楷体_GB2312" w:eastAsia="楷体_GB2312" w:cs="楷体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44" w:type="pct"/>
            <w:vMerge w:val="continue"/>
            <w:shd w:val="clear" w:color="auto" w:fill="FFFFFF" w:themeFill="background1"/>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890"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中国近现代史</w:t>
            </w:r>
          </w:p>
        </w:tc>
        <w:tc>
          <w:tcPr>
            <w:tcW w:w="780"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000000"/>
                <w:sz w:val="21"/>
                <w:szCs w:val="21"/>
              </w:rPr>
            </w:pPr>
          </w:p>
        </w:tc>
        <w:tc>
          <w:tcPr>
            <w:tcW w:w="864"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u w:val="single"/>
              </w:rPr>
            </w:pPr>
          </w:p>
        </w:tc>
        <w:tc>
          <w:tcPr>
            <w:tcW w:w="739"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809" w:type="pct"/>
            <w:vMerge w:val="restar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670"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44" w:type="pct"/>
            <w:vMerge w:val="continue"/>
            <w:shd w:val="clear" w:color="auto" w:fill="FFFFFF" w:themeFill="background1"/>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890"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专门史</w:t>
            </w:r>
          </w:p>
        </w:tc>
        <w:tc>
          <w:tcPr>
            <w:tcW w:w="780"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FF0000"/>
                <w:sz w:val="21"/>
                <w:szCs w:val="21"/>
              </w:rPr>
            </w:pPr>
          </w:p>
        </w:tc>
        <w:tc>
          <w:tcPr>
            <w:tcW w:w="864"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FF0000"/>
                <w:sz w:val="21"/>
                <w:szCs w:val="21"/>
              </w:rPr>
            </w:pPr>
          </w:p>
        </w:tc>
        <w:tc>
          <w:tcPr>
            <w:tcW w:w="739"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FF0000"/>
                <w:sz w:val="21"/>
                <w:szCs w:val="21"/>
              </w:rPr>
            </w:pPr>
          </w:p>
        </w:tc>
        <w:tc>
          <w:tcPr>
            <w:tcW w:w="809"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670"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7" w:hRule="atLeast"/>
        </w:trPr>
        <w:tc>
          <w:tcPr>
            <w:tcW w:w="244" w:type="pct"/>
            <w:vMerge w:val="restart"/>
            <w:shd w:val="clear" w:color="auto" w:fill="FFFFFF" w:themeFill="background1"/>
            <w:noWrap w:val="0"/>
            <w:vAlign w:val="center"/>
          </w:tcPr>
          <w:p>
            <w:pPr>
              <w:spacing w:line="240" w:lineRule="auto"/>
              <w:ind w:firstLine="0" w:firstLineChars="0"/>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下</w:t>
            </w:r>
          </w:p>
          <w:p>
            <w:pPr>
              <w:spacing w:line="240" w:lineRule="auto"/>
              <w:ind w:firstLine="0" w:firstLineChars="0"/>
              <w:rPr>
                <w:rFonts w:hint="eastAsia" w:ascii="楷体_GB2312" w:hAnsi="楷体_GB2312" w:eastAsia="楷体_GB2312" w:cs="楷体_GB2312"/>
                <w:sz w:val="21"/>
                <w:szCs w:val="21"/>
              </w:rPr>
            </w:pPr>
          </w:p>
          <w:p>
            <w:pPr>
              <w:spacing w:line="240" w:lineRule="auto"/>
              <w:ind w:firstLine="0" w:firstLineChars="0"/>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午</w:t>
            </w:r>
          </w:p>
          <w:p>
            <w:pPr>
              <w:spacing w:line="240" w:lineRule="auto"/>
              <w:ind w:firstLine="0" w:firstLineChars="0"/>
              <w:rPr>
                <w:rFonts w:hint="eastAsia" w:ascii="楷体_GB2312" w:hAnsi="楷体_GB2312" w:eastAsia="楷体_GB2312" w:cs="楷体_GB2312"/>
                <w:sz w:val="21"/>
                <w:szCs w:val="21"/>
              </w:rPr>
            </w:pPr>
          </w:p>
        </w:tc>
        <w:tc>
          <w:tcPr>
            <w:tcW w:w="890"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专业</w:t>
            </w:r>
          </w:p>
        </w:tc>
        <w:tc>
          <w:tcPr>
            <w:tcW w:w="780"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星期一</w:t>
            </w:r>
          </w:p>
        </w:tc>
        <w:tc>
          <w:tcPr>
            <w:tcW w:w="864"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星期二</w:t>
            </w:r>
          </w:p>
        </w:tc>
        <w:tc>
          <w:tcPr>
            <w:tcW w:w="739"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星期三</w:t>
            </w:r>
          </w:p>
        </w:tc>
        <w:tc>
          <w:tcPr>
            <w:tcW w:w="809"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星期四</w:t>
            </w:r>
          </w:p>
        </w:tc>
        <w:tc>
          <w:tcPr>
            <w:tcW w:w="670"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星期五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44" w:type="pct"/>
            <w:vMerge w:val="continue"/>
            <w:shd w:val="clear" w:color="auto" w:fill="FFFFFF" w:themeFill="background1"/>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890"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政治经济学</w:t>
            </w:r>
          </w:p>
        </w:tc>
        <w:tc>
          <w:tcPr>
            <w:tcW w:w="780" w:type="pct"/>
            <w:vMerge w:val="restar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FF0000"/>
                <w:sz w:val="21"/>
                <w:szCs w:val="21"/>
              </w:rPr>
            </w:pPr>
            <w:r>
              <w:rPr>
                <w:rFonts w:hint="eastAsia" w:ascii="楷体_GB2312" w:hAnsi="楷体_GB2312" w:eastAsia="楷体_GB2312" w:cs="楷体_GB2312"/>
                <w:color w:val="FF0000"/>
                <w:sz w:val="21"/>
                <w:szCs w:val="21"/>
              </w:rPr>
              <w:t>新时代中国特色社会主义理论与实践</w:t>
            </w:r>
          </w:p>
        </w:tc>
        <w:tc>
          <w:tcPr>
            <w:tcW w:w="864" w:type="pct"/>
            <w:vMerge w:val="restar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000000"/>
                <w:sz w:val="21"/>
                <w:szCs w:val="21"/>
              </w:rPr>
            </w:pPr>
          </w:p>
          <w:p>
            <w:pPr>
              <w:spacing w:line="240" w:lineRule="auto"/>
              <w:ind w:firstLine="0" w:firstLineChars="0"/>
              <w:jc w:val="center"/>
              <w:rPr>
                <w:rFonts w:hint="eastAsia" w:ascii="楷体_GB2312" w:hAnsi="楷体_GB2312" w:eastAsia="楷体_GB2312" w:cs="楷体_GB2312"/>
                <w:sz w:val="21"/>
                <w:szCs w:val="21"/>
              </w:rPr>
            </w:pPr>
          </w:p>
        </w:tc>
        <w:tc>
          <w:tcPr>
            <w:tcW w:w="739" w:type="pct"/>
            <w:vMerge w:val="restar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color w:val="FF0000"/>
                <w:sz w:val="21"/>
                <w:szCs w:val="21"/>
              </w:rPr>
              <w:t>计量经济学</w:t>
            </w:r>
          </w:p>
        </w:tc>
        <w:tc>
          <w:tcPr>
            <w:tcW w:w="809" w:type="pct"/>
            <w:vMerge w:val="restar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p>
          <w:p>
            <w:pPr>
              <w:spacing w:line="240" w:lineRule="auto"/>
              <w:ind w:firstLine="0" w:firstLineChars="0"/>
              <w:jc w:val="center"/>
              <w:rPr>
                <w:rFonts w:hint="eastAsia" w:ascii="楷体_GB2312" w:hAnsi="楷体_GB2312" w:eastAsia="楷体_GB2312" w:cs="楷体_GB2312"/>
                <w:sz w:val="21"/>
                <w:szCs w:val="21"/>
              </w:rPr>
            </w:pPr>
          </w:p>
        </w:tc>
        <w:tc>
          <w:tcPr>
            <w:tcW w:w="670" w:type="pct"/>
            <w:vMerge w:val="restar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4" w:type="pct"/>
            <w:vMerge w:val="continue"/>
            <w:shd w:val="clear" w:color="auto" w:fill="FFFFFF" w:themeFill="background1"/>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890"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西方经济学</w:t>
            </w:r>
          </w:p>
        </w:tc>
        <w:tc>
          <w:tcPr>
            <w:tcW w:w="780"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u w:val="single"/>
              </w:rPr>
            </w:pPr>
          </w:p>
        </w:tc>
        <w:tc>
          <w:tcPr>
            <w:tcW w:w="864"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739"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809"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670"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0" w:hRule="atLeast"/>
        </w:trPr>
        <w:tc>
          <w:tcPr>
            <w:tcW w:w="244" w:type="pct"/>
            <w:vMerge w:val="continue"/>
            <w:shd w:val="clear" w:color="auto" w:fill="FFFFFF" w:themeFill="background1"/>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890"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人口、资源与环境经济学</w:t>
            </w:r>
          </w:p>
        </w:tc>
        <w:tc>
          <w:tcPr>
            <w:tcW w:w="780"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u w:val="single"/>
              </w:rPr>
            </w:pPr>
          </w:p>
        </w:tc>
        <w:tc>
          <w:tcPr>
            <w:tcW w:w="864"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739"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809"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670"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FF0000"/>
                <w:sz w:val="21"/>
                <w:szCs w:val="21"/>
              </w:rPr>
            </w:pPr>
            <w:r>
              <w:rPr>
                <w:rFonts w:hint="eastAsia" w:ascii="楷体_GB2312" w:hAnsi="楷体_GB2312" w:eastAsia="楷体_GB2312" w:cs="楷体_GB2312"/>
                <w:color w:val="FF0000"/>
                <w:sz w:val="21"/>
                <w:szCs w:val="21"/>
                <w:lang w:val="en-US" w:eastAsia="zh-CN"/>
              </w:rPr>
              <w:t>环境政策学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4" w:type="pct"/>
            <w:vMerge w:val="continue"/>
            <w:shd w:val="clear" w:color="auto" w:fill="FFFFFF" w:themeFill="background1"/>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890"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区域经济学</w:t>
            </w:r>
          </w:p>
        </w:tc>
        <w:tc>
          <w:tcPr>
            <w:tcW w:w="780"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u w:val="single"/>
              </w:rPr>
            </w:pPr>
          </w:p>
        </w:tc>
        <w:tc>
          <w:tcPr>
            <w:tcW w:w="864"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739"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809" w:type="pct"/>
            <w:vMerge w:val="restar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创新经济学</w:t>
            </w:r>
          </w:p>
        </w:tc>
        <w:tc>
          <w:tcPr>
            <w:tcW w:w="670"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244" w:type="pct"/>
            <w:vMerge w:val="continue"/>
            <w:shd w:val="clear" w:color="auto" w:fill="FFFFFF" w:themeFill="background1"/>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890"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金融学</w:t>
            </w:r>
          </w:p>
        </w:tc>
        <w:tc>
          <w:tcPr>
            <w:tcW w:w="780"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u w:val="single"/>
              </w:rPr>
            </w:pPr>
          </w:p>
        </w:tc>
        <w:tc>
          <w:tcPr>
            <w:tcW w:w="864"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739"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809"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670"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color w:val="FF0000"/>
                <w:sz w:val="21"/>
                <w:szCs w:val="21"/>
                <w:lang w:val="en-US" w:eastAsia="zh-CN"/>
              </w:rPr>
              <w:t>投资银行学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4" w:type="pct"/>
            <w:vMerge w:val="continue"/>
            <w:shd w:val="clear" w:color="auto" w:fill="FFFFFF" w:themeFill="background1"/>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890"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产业经济学</w:t>
            </w:r>
          </w:p>
        </w:tc>
        <w:tc>
          <w:tcPr>
            <w:tcW w:w="780"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u w:val="single"/>
              </w:rPr>
            </w:pPr>
          </w:p>
        </w:tc>
        <w:tc>
          <w:tcPr>
            <w:tcW w:w="864"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739"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809"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670" w:type="pct"/>
            <w:vMerge w:val="restar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40" w:hRule="atLeast"/>
        </w:trPr>
        <w:tc>
          <w:tcPr>
            <w:tcW w:w="244" w:type="pct"/>
            <w:vMerge w:val="continue"/>
            <w:shd w:val="clear" w:color="auto" w:fill="FFFFFF" w:themeFill="background1"/>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890"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国际贸易学</w:t>
            </w:r>
          </w:p>
        </w:tc>
        <w:tc>
          <w:tcPr>
            <w:tcW w:w="780"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u w:val="single"/>
              </w:rPr>
            </w:pPr>
          </w:p>
        </w:tc>
        <w:tc>
          <w:tcPr>
            <w:tcW w:w="864"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color w:val="FF0000"/>
                <w:sz w:val="21"/>
                <w:szCs w:val="21"/>
                <w:lang w:val="en-US" w:eastAsia="zh-CN"/>
              </w:rPr>
              <w:t>国际贸易</w:t>
            </w:r>
          </w:p>
        </w:tc>
        <w:tc>
          <w:tcPr>
            <w:tcW w:w="739"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809"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670"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244" w:type="pct"/>
            <w:vMerge w:val="continue"/>
            <w:shd w:val="clear" w:color="auto" w:fill="FFFFFF" w:themeFill="background1"/>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890"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社会学</w:t>
            </w:r>
          </w:p>
        </w:tc>
        <w:tc>
          <w:tcPr>
            <w:tcW w:w="780" w:type="pct"/>
            <w:vMerge w:val="restar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u w:val="single"/>
              </w:rPr>
            </w:pPr>
          </w:p>
        </w:tc>
        <w:tc>
          <w:tcPr>
            <w:tcW w:w="864" w:type="pct"/>
            <w:vMerge w:val="restar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color w:val="FF0000"/>
                <w:sz w:val="21"/>
                <w:szCs w:val="21"/>
                <w:lang w:val="en-US" w:eastAsia="zh-CN"/>
              </w:rPr>
              <w:t>社会学经典原著选读</w:t>
            </w:r>
          </w:p>
        </w:tc>
        <w:tc>
          <w:tcPr>
            <w:tcW w:w="739"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FF0000"/>
                <w:sz w:val="21"/>
                <w:szCs w:val="21"/>
              </w:rPr>
            </w:pPr>
            <w:r>
              <w:rPr>
                <w:rFonts w:hint="eastAsia" w:ascii="楷体_GB2312" w:hAnsi="楷体_GB2312" w:eastAsia="楷体_GB2312" w:cs="楷体_GB2312"/>
                <w:color w:val="FF0000"/>
                <w:sz w:val="21"/>
                <w:szCs w:val="21"/>
                <w:lang w:val="en-US" w:eastAsia="zh-CN"/>
              </w:rPr>
              <w:t>质性研究</w:t>
            </w:r>
          </w:p>
        </w:tc>
        <w:tc>
          <w:tcPr>
            <w:tcW w:w="809" w:type="pct"/>
            <w:vMerge w:val="restar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FF0000"/>
                <w:sz w:val="21"/>
                <w:szCs w:val="21"/>
              </w:rPr>
            </w:pPr>
            <w:r>
              <w:rPr>
                <w:rFonts w:hint="eastAsia" w:ascii="楷体_GB2312" w:hAnsi="楷体_GB2312" w:eastAsia="楷体_GB2312" w:cs="楷体_GB2312"/>
                <w:color w:val="FF0000"/>
                <w:sz w:val="21"/>
                <w:szCs w:val="21"/>
                <w:lang w:val="en-US" w:eastAsia="zh-CN"/>
              </w:rPr>
              <w:t>学术论文写作</w:t>
            </w:r>
          </w:p>
        </w:tc>
        <w:tc>
          <w:tcPr>
            <w:tcW w:w="670"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44" w:type="pct"/>
            <w:vMerge w:val="continue"/>
            <w:shd w:val="clear" w:color="auto" w:fill="FFFFFF" w:themeFill="background1"/>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890"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人口学</w:t>
            </w:r>
          </w:p>
        </w:tc>
        <w:tc>
          <w:tcPr>
            <w:tcW w:w="780"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u w:val="single"/>
              </w:rPr>
            </w:pPr>
          </w:p>
        </w:tc>
        <w:tc>
          <w:tcPr>
            <w:tcW w:w="864"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739" w:type="pct"/>
            <w:vMerge w:val="restar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809"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670"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6" w:hRule="atLeast"/>
        </w:trPr>
        <w:tc>
          <w:tcPr>
            <w:tcW w:w="244" w:type="pct"/>
            <w:vMerge w:val="continue"/>
            <w:shd w:val="clear" w:color="auto" w:fill="FFFFFF" w:themeFill="background1"/>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890"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民俗学</w:t>
            </w:r>
          </w:p>
        </w:tc>
        <w:tc>
          <w:tcPr>
            <w:tcW w:w="780"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u w:val="single"/>
              </w:rPr>
            </w:pPr>
          </w:p>
        </w:tc>
        <w:tc>
          <w:tcPr>
            <w:tcW w:w="864"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739"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809"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p>
        </w:tc>
        <w:tc>
          <w:tcPr>
            <w:tcW w:w="670"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color w:val="FF0000"/>
                <w:sz w:val="21"/>
                <w:szCs w:val="21"/>
                <w:lang w:val="en-US" w:eastAsia="zh-CN"/>
              </w:rPr>
              <w:t>民俗学概论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4" w:type="pct"/>
            <w:vMerge w:val="continue"/>
            <w:shd w:val="clear" w:color="auto" w:fill="FFFFFF" w:themeFill="background1"/>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890"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中国古代史</w:t>
            </w:r>
          </w:p>
        </w:tc>
        <w:tc>
          <w:tcPr>
            <w:tcW w:w="780" w:type="pct"/>
            <w:vMerge w:val="continue"/>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u w:val="single"/>
              </w:rPr>
            </w:pPr>
          </w:p>
        </w:tc>
        <w:tc>
          <w:tcPr>
            <w:tcW w:w="864" w:type="pct"/>
            <w:vMerge w:val="restar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color w:val="FF0000"/>
                <w:sz w:val="21"/>
                <w:szCs w:val="21"/>
                <w:lang w:val="en-US" w:eastAsia="zh-CN"/>
              </w:rPr>
              <w:t>史学前沿</w:t>
            </w:r>
          </w:p>
        </w:tc>
        <w:tc>
          <w:tcPr>
            <w:tcW w:w="739" w:type="pct"/>
            <w:vMerge w:val="restar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color w:val="FF0000"/>
                <w:sz w:val="21"/>
                <w:szCs w:val="21"/>
              </w:rPr>
              <w:t>中国古代史概论</w:t>
            </w:r>
          </w:p>
        </w:tc>
        <w:tc>
          <w:tcPr>
            <w:tcW w:w="809" w:type="pct"/>
            <w:vMerge w:val="restar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color w:val="FF0000"/>
                <w:sz w:val="21"/>
                <w:szCs w:val="21"/>
                <w:lang w:val="en-US" w:eastAsia="zh-CN"/>
              </w:rPr>
              <w:t>中国史专业论文指导</w:t>
            </w:r>
          </w:p>
        </w:tc>
        <w:tc>
          <w:tcPr>
            <w:tcW w:w="670"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244" w:type="pct"/>
            <w:vMerge w:val="continue"/>
            <w:shd w:val="clear" w:color="auto" w:fill="FFFFFF" w:themeFill="background1"/>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890"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中国近现代史</w:t>
            </w:r>
          </w:p>
        </w:tc>
        <w:tc>
          <w:tcPr>
            <w:tcW w:w="780" w:type="pct"/>
            <w:vMerge w:val="continue"/>
            <w:shd w:val="clear" w:color="auto" w:fill="FFFFFF" w:themeFill="background1"/>
            <w:noWrap w:val="0"/>
            <w:vAlign w:val="top"/>
          </w:tcPr>
          <w:p>
            <w:pPr>
              <w:spacing w:line="240" w:lineRule="auto"/>
              <w:ind w:firstLine="0" w:firstLineChars="0"/>
              <w:jc w:val="center"/>
              <w:rPr>
                <w:rFonts w:hint="eastAsia" w:ascii="楷体_GB2312" w:hAnsi="楷体_GB2312" w:eastAsia="楷体_GB2312" w:cs="楷体_GB2312"/>
                <w:sz w:val="21"/>
                <w:szCs w:val="21"/>
                <w:u w:val="single"/>
              </w:rPr>
            </w:pPr>
          </w:p>
        </w:tc>
        <w:tc>
          <w:tcPr>
            <w:tcW w:w="864" w:type="pct"/>
            <w:vMerge w:val="continue"/>
            <w:shd w:val="clear" w:color="auto" w:fill="FFFFFF" w:themeFill="background1"/>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739" w:type="pct"/>
            <w:vMerge w:val="continue"/>
            <w:shd w:val="clear" w:color="auto" w:fill="FFFFFF" w:themeFill="background1"/>
            <w:noWrap w:val="0"/>
            <w:vAlign w:val="top"/>
          </w:tcPr>
          <w:p>
            <w:pPr>
              <w:spacing w:line="240" w:lineRule="auto"/>
              <w:ind w:firstLine="0" w:firstLineChars="0"/>
              <w:jc w:val="center"/>
              <w:rPr>
                <w:rFonts w:hint="eastAsia" w:ascii="楷体_GB2312" w:hAnsi="楷体_GB2312" w:eastAsia="楷体_GB2312" w:cs="楷体_GB2312"/>
                <w:color w:val="000000"/>
                <w:sz w:val="21"/>
                <w:szCs w:val="21"/>
              </w:rPr>
            </w:pPr>
          </w:p>
        </w:tc>
        <w:tc>
          <w:tcPr>
            <w:tcW w:w="809" w:type="pct"/>
            <w:vMerge w:val="continue"/>
            <w:shd w:val="clear" w:color="auto" w:fill="FFFFFF" w:themeFill="background1"/>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670" w:type="pct"/>
            <w:shd w:val="clear" w:color="auto" w:fill="FFFFFF" w:themeFill="background1"/>
            <w:noWrap w:val="0"/>
            <w:vAlign w:val="top"/>
          </w:tcPr>
          <w:p>
            <w:pPr>
              <w:spacing w:line="240" w:lineRule="auto"/>
              <w:ind w:firstLine="0" w:firstLineChars="0"/>
              <w:jc w:val="center"/>
              <w:rPr>
                <w:rFonts w:hint="eastAsia" w:ascii="楷体_GB2312" w:hAnsi="楷体_GB2312" w:eastAsia="楷体_GB2312" w:cs="楷体_GB2312"/>
                <w:color w:val="FF0000"/>
                <w:sz w:val="21"/>
                <w:szCs w:val="21"/>
              </w:rPr>
            </w:pPr>
            <w:r>
              <w:rPr>
                <w:rFonts w:hint="eastAsia" w:ascii="楷体_GB2312" w:hAnsi="楷体_GB2312" w:eastAsia="楷体_GB2312" w:cs="楷体_GB2312"/>
                <w:color w:val="FF0000"/>
                <w:sz w:val="21"/>
                <w:szCs w:val="21"/>
                <w:lang w:val="en-US" w:eastAsia="zh-CN"/>
              </w:rPr>
              <w:t>近代中外关系史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44" w:type="pct"/>
            <w:vMerge w:val="continue"/>
            <w:shd w:val="clear" w:color="auto" w:fill="FFFFFF" w:themeFill="background1"/>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890" w:type="pct"/>
            <w:shd w:val="clear" w:color="auto" w:fill="FFFFFF" w:themeFill="background1"/>
            <w:noWrap w:val="0"/>
            <w:vAlign w:val="center"/>
          </w:tcPr>
          <w:p>
            <w:pPr>
              <w:spacing w:line="240" w:lineRule="auto"/>
              <w:ind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专门史</w:t>
            </w:r>
          </w:p>
        </w:tc>
        <w:tc>
          <w:tcPr>
            <w:tcW w:w="780" w:type="pct"/>
            <w:vMerge w:val="continue"/>
            <w:shd w:val="clear" w:color="auto" w:fill="FFFFFF" w:themeFill="background1"/>
            <w:noWrap w:val="0"/>
            <w:vAlign w:val="top"/>
          </w:tcPr>
          <w:p>
            <w:pPr>
              <w:spacing w:line="240" w:lineRule="auto"/>
              <w:ind w:firstLine="0" w:firstLineChars="0"/>
              <w:jc w:val="center"/>
              <w:rPr>
                <w:rFonts w:hint="eastAsia" w:ascii="楷体_GB2312" w:hAnsi="楷体_GB2312" w:eastAsia="楷体_GB2312" w:cs="楷体_GB2312"/>
                <w:sz w:val="21"/>
                <w:szCs w:val="21"/>
                <w:u w:val="single"/>
              </w:rPr>
            </w:pPr>
          </w:p>
        </w:tc>
        <w:tc>
          <w:tcPr>
            <w:tcW w:w="864" w:type="pct"/>
            <w:vMerge w:val="continue"/>
            <w:shd w:val="clear" w:color="auto" w:fill="FFFFFF" w:themeFill="background1"/>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739" w:type="pct"/>
            <w:vMerge w:val="continue"/>
            <w:shd w:val="clear" w:color="auto" w:fill="FFFFFF" w:themeFill="background1"/>
            <w:noWrap w:val="0"/>
            <w:vAlign w:val="top"/>
          </w:tcPr>
          <w:p>
            <w:pPr>
              <w:spacing w:line="240" w:lineRule="auto"/>
              <w:ind w:firstLine="0" w:firstLineChars="0"/>
              <w:jc w:val="center"/>
              <w:rPr>
                <w:rFonts w:hint="eastAsia" w:ascii="楷体_GB2312" w:hAnsi="楷体_GB2312" w:eastAsia="楷体_GB2312" w:cs="楷体_GB2312"/>
                <w:color w:val="000000"/>
                <w:sz w:val="21"/>
                <w:szCs w:val="21"/>
              </w:rPr>
            </w:pPr>
          </w:p>
        </w:tc>
        <w:tc>
          <w:tcPr>
            <w:tcW w:w="809" w:type="pct"/>
            <w:vMerge w:val="continue"/>
            <w:shd w:val="clear" w:color="auto" w:fill="FFFFFF" w:themeFill="background1"/>
            <w:noWrap w:val="0"/>
            <w:vAlign w:val="top"/>
          </w:tcPr>
          <w:p>
            <w:pPr>
              <w:spacing w:line="240" w:lineRule="auto"/>
              <w:ind w:firstLine="0" w:firstLineChars="0"/>
              <w:jc w:val="center"/>
              <w:rPr>
                <w:rFonts w:hint="eastAsia" w:ascii="楷体_GB2312" w:hAnsi="楷体_GB2312" w:eastAsia="楷体_GB2312" w:cs="楷体_GB2312"/>
                <w:sz w:val="21"/>
                <w:szCs w:val="21"/>
              </w:rPr>
            </w:pPr>
          </w:p>
        </w:tc>
        <w:tc>
          <w:tcPr>
            <w:tcW w:w="670" w:type="pct"/>
            <w:shd w:val="clear" w:color="auto" w:fill="FFFFFF" w:themeFill="background1"/>
            <w:noWrap w:val="0"/>
            <w:vAlign w:val="top"/>
          </w:tcPr>
          <w:p>
            <w:pPr>
              <w:spacing w:line="240" w:lineRule="auto"/>
              <w:ind w:firstLine="0" w:firstLineChars="0"/>
              <w:jc w:val="center"/>
              <w:rPr>
                <w:rFonts w:hint="eastAsia" w:ascii="楷体_GB2312" w:hAnsi="楷体_GB2312" w:eastAsia="楷体_GB2312" w:cs="楷体_GB2312"/>
                <w:color w:val="FF0000"/>
                <w:sz w:val="21"/>
                <w:szCs w:val="21"/>
              </w:rPr>
            </w:pPr>
          </w:p>
        </w:tc>
      </w:tr>
    </w:tbl>
    <w:p>
      <w:pPr>
        <w:spacing w:before="157" w:beforeLines="50"/>
        <w:ind w:firstLine="420"/>
        <w:rPr>
          <w:rFonts w:eastAsia="仿宋"/>
          <w:color w:val="000000"/>
          <w:sz w:val="28"/>
          <w:szCs w:val="28"/>
        </w:rPr>
        <w:sectPr>
          <w:footnotePr>
            <w:numFmt w:val="decimalEnclosedCircleChinese"/>
            <w:numRestart w:val="eachPage"/>
          </w:footnote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eastAsia="仿宋"/>
          <w:color w:val="000000"/>
          <w:sz w:val="21"/>
          <w:szCs w:val="21"/>
        </w:rPr>
        <w:t>注：红色字体部分为公共学位课或学位必修课；黑色字体为选修课。</w:t>
      </w:r>
    </w:p>
    <w:p>
      <w:pPr>
        <w:pStyle w:val="4"/>
        <w:keepNext w:val="0"/>
        <w:keepLines w:val="0"/>
        <w:widowControl w:val="0"/>
        <w:ind w:firstLine="602" w:firstLineChars="200"/>
        <w:rPr>
          <w:rFonts w:hint="eastAsia"/>
        </w:rPr>
      </w:pPr>
      <w:bookmarkStart w:id="107" w:name="_Toc67260866"/>
      <w:bookmarkStart w:id="108" w:name="_Toc15881"/>
      <w:bookmarkStart w:id="109" w:name="_Toc127791872"/>
      <w:bookmarkStart w:id="110" w:name="_Toc26198"/>
      <w:bookmarkStart w:id="111" w:name="_Toc67497720"/>
      <w:bookmarkStart w:id="112" w:name="_Toc10039"/>
      <w:bookmarkStart w:id="113" w:name="_Toc9471"/>
      <w:bookmarkStart w:id="114" w:name="_Toc18964"/>
      <w:bookmarkStart w:id="115" w:name="_Toc67497683"/>
      <w:r>
        <w:rPr>
          <w:rFonts w:hint="eastAsia"/>
        </w:rPr>
        <w:t>（二）导师选拔培训和师德师风建设</w:t>
      </w:r>
      <w:bookmarkEnd w:id="107"/>
      <w:bookmarkEnd w:id="108"/>
      <w:bookmarkEnd w:id="109"/>
      <w:bookmarkEnd w:id="110"/>
      <w:bookmarkEnd w:id="111"/>
      <w:bookmarkEnd w:id="112"/>
      <w:bookmarkEnd w:id="113"/>
      <w:bookmarkEnd w:id="114"/>
      <w:bookmarkEnd w:id="115"/>
    </w:p>
    <w:p>
      <w:pPr>
        <w:pStyle w:val="5"/>
        <w:keepNext w:val="0"/>
        <w:keepLines w:val="0"/>
        <w:widowControl w:val="0"/>
        <w:ind w:firstLine="560" w:firstLineChars="200"/>
        <w:rPr>
          <w:rFonts w:hint="eastAsia"/>
          <w:highlight w:val="yellow"/>
        </w:rPr>
      </w:pPr>
      <w:bookmarkStart w:id="116" w:name="_Toc20833"/>
      <w:r>
        <w:rPr>
          <w:rFonts w:hint="eastAsia"/>
          <w:highlight w:val="none"/>
        </w:rPr>
        <w:t>1.导师选拔和培训</w:t>
      </w:r>
      <w:bookmarkEnd w:id="116"/>
    </w:p>
    <w:p>
      <w:pPr>
        <w:ind w:firstLine="480"/>
        <w:rPr>
          <w:rFonts w:hint="eastAsia"/>
          <w:highlight w:val="none"/>
        </w:rPr>
      </w:pPr>
      <w:r>
        <w:rPr>
          <w:rFonts w:hint="eastAsia"/>
        </w:rPr>
        <w:t>我院导师选拔坚持制度指导实践，从聘任遴选机制入手完善导师队伍制度建设，有针对性地对导师进行严格的资格审查、定期审核，从</w:t>
      </w:r>
      <w:r>
        <w:rPr>
          <w:rFonts w:hint="eastAsia"/>
          <w:lang w:eastAsia="zh-CN"/>
        </w:rPr>
        <w:t>师德师风、科研能力</w:t>
      </w:r>
      <w:r>
        <w:rPr>
          <w:rFonts w:hint="eastAsia"/>
        </w:rPr>
        <w:t>、</w:t>
      </w:r>
      <w:r>
        <w:rPr>
          <w:rFonts w:hint="eastAsia"/>
          <w:lang w:eastAsia="zh-CN"/>
        </w:rPr>
        <w:t>教学能力、</w:t>
      </w:r>
      <w:r>
        <w:rPr>
          <w:rFonts w:hint="eastAsia"/>
        </w:rPr>
        <w:t>指导能力等</w:t>
      </w:r>
      <w:r>
        <w:rPr>
          <w:rFonts w:hint="eastAsia"/>
          <w:lang w:eastAsia="zh-CN"/>
        </w:rPr>
        <w:t>多</w:t>
      </w:r>
      <w:r>
        <w:rPr>
          <w:rFonts w:hint="eastAsia"/>
        </w:rPr>
        <w:t>方面进行全方位量化考核。导师遴选遵循“学位评定委员会指导、研究生部组织执行”的方针，坚持动态优化，杜绝遴选过程中的人情、权力因素干扰，确保导师遴选聘任透明、公正。</w:t>
      </w:r>
      <w:r>
        <w:rPr>
          <w:rFonts w:hint="eastAsia"/>
          <w:highlight w:val="none"/>
        </w:rPr>
        <w:t>202</w:t>
      </w:r>
      <w:r>
        <w:rPr>
          <w:rFonts w:hint="eastAsia"/>
          <w:highlight w:val="none"/>
          <w:lang w:eastAsia="zh-CN"/>
        </w:rPr>
        <w:t>3</w:t>
      </w:r>
      <w:r>
        <w:rPr>
          <w:rFonts w:hint="eastAsia"/>
          <w:highlight w:val="none"/>
        </w:rPr>
        <w:t>年，</w:t>
      </w:r>
      <w:r>
        <w:rPr>
          <w:rFonts w:hint="eastAsia"/>
          <w:highlight w:val="none"/>
          <w:lang w:val="en-US" w:eastAsia="zh-CN"/>
        </w:rPr>
        <w:t>我院</w:t>
      </w:r>
      <w:r>
        <w:rPr>
          <w:rFonts w:hint="eastAsia"/>
          <w:highlight w:val="none"/>
        </w:rPr>
        <w:t>扎实开展研究生导师增补工作</w:t>
      </w:r>
      <w:r>
        <w:rPr>
          <w:rFonts w:hint="eastAsia"/>
          <w:highlight w:val="none"/>
          <w:lang w:eastAsia="zh-CN"/>
        </w:rPr>
        <w:t>，</w:t>
      </w:r>
      <w:r>
        <w:rPr>
          <w:rFonts w:hint="eastAsia"/>
          <w:highlight w:val="none"/>
          <w:lang w:val="en-US" w:eastAsia="zh-CN"/>
        </w:rPr>
        <w:t>修订了</w:t>
      </w:r>
      <w:r>
        <w:rPr>
          <w:rFonts w:hint="eastAsia"/>
          <w:highlight w:val="none"/>
        </w:rPr>
        <w:t>《广东省社会科学院硕士研究生导师遴选条件》</w:t>
      </w:r>
      <w:r>
        <w:rPr>
          <w:rFonts w:hint="eastAsia"/>
          <w:highlight w:val="none"/>
          <w:lang w:eastAsia="zh-CN"/>
        </w:rPr>
        <w:t>，按程序</w:t>
      </w:r>
      <w:r>
        <w:rPr>
          <w:rFonts w:hint="eastAsia"/>
          <w:highlight w:val="none"/>
        </w:rPr>
        <w:t>增补</w:t>
      </w:r>
      <w:r>
        <w:rPr>
          <w:rFonts w:hint="eastAsia"/>
          <w:highlight w:val="none"/>
          <w:lang w:eastAsia="zh-CN"/>
        </w:rPr>
        <w:t>了</w:t>
      </w:r>
      <w:r>
        <w:rPr>
          <w:rFonts w:hint="eastAsia"/>
          <w:highlight w:val="none"/>
          <w:lang w:val="en-US" w:eastAsia="zh-CN"/>
        </w:rPr>
        <w:t>17</w:t>
      </w:r>
      <w:r>
        <w:rPr>
          <w:rFonts w:hint="eastAsia"/>
          <w:highlight w:val="none"/>
        </w:rPr>
        <w:t>位专任教师为硕士研究生导师，均为教学和科研经验丰富的</w:t>
      </w:r>
      <w:r>
        <w:rPr>
          <w:rFonts w:hint="eastAsia"/>
          <w:highlight w:val="none"/>
          <w:lang w:val="en-US" w:eastAsia="zh-CN"/>
        </w:rPr>
        <w:t>科研</w:t>
      </w:r>
      <w:r>
        <w:rPr>
          <w:rFonts w:hint="eastAsia"/>
          <w:highlight w:val="none"/>
        </w:rPr>
        <w:t>人员</w:t>
      </w:r>
      <w:r>
        <w:rPr>
          <w:rFonts w:hint="eastAsia"/>
          <w:highlight w:val="none"/>
          <w:lang w:eastAsia="zh-CN"/>
        </w:rPr>
        <w:t>，</w:t>
      </w:r>
      <w:r>
        <w:rPr>
          <w:rFonts w:hint="eastAsia"/>
          <w:highlight w:val="none"/>
          <w:lang w:val="en-US" w:eastAsia="zh-CN"/>
        </w:rPr>
        <w:t>导师队伍日益扩大</w:t>
      </w:r>
      <w:r>
        <w:rPr>
          <w:rFonts w:hint="eastAsia"/>
          <w:highlight w:val="none"/>
        </w:rPr>
        <w:t>。</w:t>
      </w:r>
    </w:p>
    <w:p>
      <w:pPr>
        <w:ind w:firstLine="480"/>
        <w:rPr>
          <w:rFonts w:hint="eastAsia"/>
        </w:rPr>
      </w:pPr>
      <w:r>
        <w:rPr>
          <w:rFonts w:hint="eastAsia"/>
        </w:rPr>
        <w:t>导师培训坚持线上线下、院内院外相结合。一是实行线上常态化继续教育制度和线下常态化业务培训相结合。</w:t>
      </w:r>
      <w:r>
        <w:rPr>
          <w:rFonts w:hint="eastAsia"/>
          <w:lang w:val="en-US" w:eastAsia="zh-CN"/>
        </w:rPr>
        <w:t>按照省人社厅</w:t>
      </w:r>
      <w:r>
        <w:rPr>
          <w:rFonts w:hint="eastAsia"/>
          <w:lang w:eastAsia="zh-CN"/>
        </w:rPr>
        <w:t>、</w:t>
      </w:r>
      <w:r>
        <w:rPr>
          <w:rFonts w:hint="eastAsia"/>
          <w:lang w:val="en-US" w:eastAsia="zh-CN"/>
        </w:rPr>
        <w:t>省委组织部</w:t>
      </w:r>
      <w:r>
        <w:rPr>
          <w:rFonts w:hint="eastAsia"/>
          <w:lang w:val="en-US" w:eastAsia="zh-Hans"/>
        </w:rPr>
        <w:t>要求</w:t>
      </w:r>
      <w:r>
        <w:rPr>
          <w:rFonts w:hint="eastAsia"/>
          <w:lang w:val="en-US" w:eastAsia="zh-CN"/>
        </w:rPr>
        <w:t>，每人每年</w:t>
      </w:r>
      <w:r>
        <w:rPr>
          <w:rFonts w:hint="eastAsia"/>
        </w:rPr>
        <w:t>必须</w:t>
      </w:r>
      <w:r>
        <w:rPr>
          <w:rFonts w:hint="eastAsia"/>
          <w:lang w:val="en-US" w:eastAsia="zh-Hans"/>
        </w:rPr>
        <w:t>完成</w:t>
      </w:r>
      <w:r>
        <w:rPr>
          <w:rFonts w:hint="eastAsia"/>
          <w:lang w:val="en-US" w:eastAsia="zh-CN"/>
        </w:rPr>
        <w:t>72学分的继续教育</w:t>
      </w:r>
      <w:r>
        <w:rPr>
          <w:rFonts w:hint="eastAsia"/>
          <w:lang w:val="en-US" w:eastAsia="zh-Hans"/>
        </w:rPr>
        <w:t>学习和</w:t>
      </w:r>
      <w:r>
        <w:rPr>
          <w:rFonts w:hint="eastAsia"/>
          <w:lang w:val="en-US" w:eastAsia="zh-CN"/>
        </w:rPr>
        <w:t>50学时的专题网络培训</w:t>
      </w:r>
      <w:r>
        <w:rPr>
          <w:rFonts w:hint="eastAsia"/>
          <w:lang w:eastAsia="zh-CN"/>
        </w:rPr>
        <w:t>，</w:t>
      </w:r>
      <w:r>
        <w:rPr>
          <w:rFonts w:hint="eastAsia"/>
          <w:lang w:val="en-US" w:eastAsia="zh-CN"/>
        </w:rPr>
        <w:t>并积极</w:t>
      </w:r>
      <w:r>
        <w:rPr>
          <w:rFonts w:hint="eastAsia"/>
        </w:rPr>
        <w:t>参加广东省学位与研究教育学会举办的2023年广东省研究生指导教师培训班（第一期）</w:t>
      </w:r>
      <w:r>
        <w:rPr>
          <w:rFonts w:hint="default"/>
          <w:lang w:eastAsia="zh-CN"/>
        </w:rPr>
        <w:t>，</w:t>
      </w:r>
      <w:r>
        <w:rPr>
          <w:rFonts w:hint="eastAsia"/>
          <w:lang w:val="en-US" w:eastAsia="zh-CN"/>
        </w:rPr>
        <w:t>持续增强研究生导师</w:t>
      </w:r>
      <w:r>
        <w:rPr>
          <w:rFonts w:hint="eastAsia"/>
          <w:lang w:val="en-US" w:eastAsia="zh-Hans"/>
        </w:rPr>
        <w:t>职业素养和</w:t>
      </w:r>
      <w:r>
        <w:rPr>
          <w:rFonts w:hint="eastAsia"/>
          <w:lang w:val="en-US" w:eastAsia="zh-CN"/>
        </w:rPr>
        <w:t>教书育人水平</w:t>
      </w:r>
      <w:r>
        <w:rPr>
          <w:rFonts w:hint="eastAsia"/>
        </w:rPr>
        <w:t>。二是院内院外频繁</w:t>
      </w:r>
      <w:r>
        <w:rPr>
          <w:rFonts w:hint="eastAsia"/>
          <w:lang w:val="en-US" w:eastAsia="zh-CN"/>
        </w:rPr>
        <w:t>交流</w:t>
      </w:r>
      <w:r>
        <w:rPr>
          <w:rFonts w:hint="eastAsia"/>
        </w:rPr>
        <w:t>互动。</w:t>
      </w:r>
      <w:r>
        <w:rPr>
          <w:rFonts w:hint="eastAsia"/>
          <w:lang w:val="en-US" w:eastAsia="zh-CN"/>
        </w:rPr>
        <w:t>一方面，</w:t>
      </w:r>
      <w:r>
        <w:rPr>
          <w:rFonts w:hint="eastAsia"/>
        </w:rPr>
        <w:t>我院鼓励教师</w:t>
      </w:r>
      <w:r>
        <w:rPr>
          <w:rFonts w:hint="eastAsia"/>
          <w:lang w:val="en-US" w:eastAsia="zh-CN"/>
        </w:rPr>
        <w:t>积极</w:t>
      </w:r>
      <w:r>
        <w:rPr>
          <w:rFonts w:hint="eastAsia"/>
        </w:rPr>
        <w:t>参加国内外高水平学术会议，</w:t>
      </w:r>
      <w:r>
        <w:rPr>
          <w:rFonts w:hint="eastAsia"/>
          <w:highlight w:val="none"/>
          <w:lang w:val="en-US" w:eastAsia="zh-CN"/>
        </w:rPr>
        <w:t>强化科学</w:t>
      </w:r>
      <w:r>
        <w:rPr>
          <w:rFonts w:hint="eastAsia"/>
          <w:highlight w:val="none"/>
        </w:rPr>
        <w:t>研究</w:t>
      </w:r>
      <w:r>
        <w:rPr>
          <w:rFonts w:hint="eastAsia"/>
          <w:highlight w:val="none"/>
          <w:lang w:val="en-US" w:eastAsia="zh-CN"/>
        </w:rPr>
        <w:t>能力</w:t>
      </w:r>
      <w:r>
        <w:rPr>
          <w:rFonts w:hint="eastAsia"/>
          <w:highlight w:val="none"/>
          <w:lang w:eastAsia="zh-CN"/>
        </w:rPr>
        <w:t>、</w:t>
      </w:r>
      <w:r>
        <w:rPr>
          <w:rFonts w:hint="eastAsia"/>
          <w:highlight w:val="none"/>
          <w:lang w:val="en-US" w:eastAsia="zh-CN"/>
        </w:rPr>
        <w:t>掌握</w:t>
      </w:r>
      <w:r>
        <w:rPr>
          <w:rFonts w:hint="eastAsia"/>
          <w:highlight w:val="none"/>
        </w:rPr>
        <w:t>教育教学前沿</w:t>
      </w:r>
      <w:r>
        <w:rPr>
          <w:rFonts w:hint="eastAsia"/>
          <w:highlight w:val="none"/>
          <w:lang w:eastAsia="zh-CN"/>
        </w:rPr>
        <w:t>，</w:t>
      </w:r>
      <w:r>
        <w:rPr>
          <w:rFonts w:hint="eastAsia"/>
        </w:rPr>
        <w:t>锤炼过硬本领；</w:t>
      </w:r>
      <w:r>
        <w:rPr>
          <w:rFonts w:hint="eastAsia"/>
          <w:lang w:val="en-US" w:eastAsia="zh-CN"/>
        </w:rPr>
        <w:t>另一方面，我院</w:t>
      </w:r>
      <w:r>
        <w:rPr>
          <w:rFonts w:hint="eastAsia"/>
        </w:rPr>
        <w:t>定期举办“中国南方智库论坛”</w:t>
      </w:r>
      <w:r>
        <w:rPr>
          <w:rFonts w:hint="eastAsia"/>
          <w:lang w:eastAsia="zh-CN"/>
        </w:rPr>
        <w:t>“中国社会学会学术年会分论坛”“海洋史研究青年学者论坛”“孙中山与近代中国研究青年学术研讨会”</w:t>
      </w:r>
      <w:r>
        <w:rPr>
          <w:rFonts w:hint="eastAsia"/>
        </w:rPr>
        <w:t>等全国性的高水平学术会议，为教师提供高水平的学术交流平台。</w:t>
      </w:r>
    </w:p>
    <w:p>
      <w:pPr>
        <w:pStyle w:val="5"/>
        <w:keepNext w:val="0"/>
        <w:keepLines w:val="0"/>
        <w:widowControl w:val="0"/>
        <w:ind w:firstLine="560" w:firstLineChars="200"/>
        <w:rPr>
          <w:rFonts w:hint="eastAsia"/>
        </w:rPr>
      </w:pPr>
      <w:bookmarkStart w:id="117" w:name="_Toc4584"/>
      <w:r>
        <w:rPr>
          <w:rFonts w:hint="eastAsia"/>
        </w:rPr>
        <w:t>2.师德师风建设</w:t>
      </w:r>
      <w:bookmarkEnd w:id="117"/>
    </w:p>
    <w:p>
      <w:pPr>
        <w:ind w:firstLine="480"/>
        <w:rPr>
          <w:rFonts w:hint="eastAsia"/>
        </w:rPr>
      </w:pPr>
      <w:r>
        <w:rPr>
          <w:rFonts w:hint="eastAsia"/>
        </w:rPr>
        <w:t>我院全面贯彻落实</w:t>
      </w:r>
      <w:r>
        <w:rPr>
          <w:rFonts w:hint="eastAsia"/>
          <w:lang w:eastAsia="zh-CN"/>
        </w:rPr>
        <w:t>教育部</w:t>
      </w:r>
      <w:r>
        <w:rPr>
          <w:rFonts w:hint="eastAsia"/>
        </w:rPr>
        <w:t>《关于全面落实研究生导师立德树人职责的意见》（教研〔2018〕1号）文件精神，努力造就一支有理想信念、道德情操、扎实学识、仁爱之心的研究生导师队伍。具体而言，我院在实行三个尊重，即“尊重上级文件精神、尊重研究特色和工作实际、尊重研究生教育培养规律”的同时，牢牢抓住“三大内容”。一是以制度建设明确“立德树人”职责，严格执行《广东省社会科学院全面落实研究生导师立德树人职责实施细则（试行）》；二是以导师考评促师德师风建设，以激励制度充分调动导师履行立德树人职责的积极性，以师德师风问题“一票否决制”规范导师指导行为；三是以专题培训会</w:t>
      </w:r>
      <w:r>
        <w:rPr>
          <w:rFonts w:hint="eastAsia"/>
          <w:lang w:val="en-US" w:eastAsia="zh-CN"/>
        </w:rPr>
        <w:t>和专题讲座</w:t>
      </w:r>
      <w:r>
        <w:rPr>
          <w:rFonts w:hint="eastAsia"/>
        </w:rPr>
        <w:t>加强研究生导师队伍建设，全面落实研究生导师立德树人职责。</w:t>
      </w:r>
    </w:p>
    <w:p>
      <w:pPr>
        <w:ind w:firstLine="480"/>
        <w:rPr>
          <w:rFonts w:hint="eastAsia"/>
          <w:highlight w:val="none"/>
        </w:rPr>
      </w:pPr>
      <w:r>
        <w:rPr>
          <w:rFonts w:hint="eastAsia"/>
          <w:lang w:val="en-US" w:eastAsia="zh-CN"/>
        </w:rPr>
        <w:t>2023年，我院编制</w:t>
      </w:r>
      <w:r>
        <w:rPr>
          <w:rFonts w:hint="eastAsia" w:ascii="Times New Roman" w:hAnsi="Times New Roman" w:eastAsia="宋体" w:cs="Times New Roman"/>
          <w:kern w:val="2"/>
          <w:sz w:val="24"/>
          <w:szCs w:val="22"/>
          <w:lang w:val="en" w:eastAsia="zh-CN"/>
        </w:rPr>
        <w:t>《广东省社会科学院师德师风教育会议材料汇编》</w:t>
      </w:r>
      <w:r>
        <w:rPr>
          <w:rFonts w:hint="eastAsia" w:cs="Times New Roman"/>
          <w:kern w:val="2"/>
          <w:sz w:val="24"/>
          <w:szCs w:val="22"/>
          <w:lang w:val="en" w:eastAsia="zh-CN"/>
        </w:rPr>
        <w:t>，</w:t>
      </w:r>
      <w:r>
        <w:rPr>
          <w:rFonts w:hint="eastAsia" w:cs="Times New Roman"/>
          <w:kern w:val="2"/>
          <w:sz w:val="24"/>
          <w:szCs w:val="22"/>
          <w:lang w:val="en-US" w:eastAsia="zh-CN"/>
        </w:rPr>
        <w:t>举办师德</w:t>
      </w:r>
      <w:r>
        <w:rPr>
          <w:rFonts w:hint="eastAsia"/>
        </w:rPr>
        <w:t>师风教育专题会议</w:t>
      </w:r>
      <w:r>
        <w:rPr>
          <w:rFonts w:hint="eastAsia"/>
          <w:lang w:eastAsia="zh-CN"/>
        </w:rPr>
        <w:t>，邀请</w:t>
      </w:r>
      <w:r>
        <w:rPr>
          <w:rFonts w:hint="eastAsia" w:ascii="Times New Roman" w:hAnsi="Times New Roman" w:eastAsia="宋体" w:cs="Times New Roman"/>
          <w:kern w:val="2"/>
          <w:sz w:val="24"/>
          <w:szCs w:val="22"/>
          <w:lang w:val="en-US" w:eastAsia="zh-CN"/>
        </w:rPr>
        <w:t>中山大学王金发教授</w:t>
      </w:r>
      <w:r>
        <w:rPr>
          <w:rFonts w:hint="eastAsia" w:cs="Times New Roman"/>
          <w:kern w:val="2"/>
          <w:sz w:val="24"/>
          <w:szCs w:val="22"/>
          <w:lang w:val="en" w:eastAsia="zh-CN"/>
        </w:rPr>
        <w:t>作题为“</w:t>
      </w:r>
      <w:r>
        <w:rPr>
          <w:rFonts w:hint="eastAsia" w:ascii="Times New Roman" w:hAnsi="Times New Roman" w:eastAsia="宋体"/>
          <w:bCs w:val="0"/>
          <w:sz w:val="24"/>
          <w:szCs w:val="22"/>
          <w:highlight w:val="none"/>
          <w:lang w:val="en"/>
        </w:rPr>
        <w:t>师魂与师艺</w:t>
      </w:r>
      <w:r>
        <w:rPr>
          <w:rFonts w:hint="eastAsia" w:cs="Times New Roman"/>
          <w:kern w:val="2"/>
          <w:sz w:val="24"/>
          <w:szCs w:val="22"/>
          <w:lang w:val="en" w:eastAsia="zh-CN"/>
        </w:rPr>
        <w:t>”的专题讲座</w:t>
      </w:r>
      <w:r>
        <w:rPr>
          <w:rFonts w:hint="eastAsia" w:ascii="Times New Roman" w:hAnsi="Times New Roman" w:eastAsia="宋体" w:cs="Times New Roman"/>
          <w:kern w:val="2"/>
          <w:sz w:val="24"/>
          <w:szCs w:val="22"/>
          <w:lang w:val="en" w:eastAsia="zh-CN"/>
        </w:rPr>
        <w:t>，</w:t>
      </w:r>
      <w:r>
        <w:rPr>
          <w:rFonts w:hint="eastAsia" w:cs="Times New Roman"/>
          <w:kern w:val="2"/>
          <w:sz w:val="24"/>
          <w:szCs w:val="22"/>
          <w:lang w:val="en" w:eastAsia="zh-CN"/>
        </w:rPr>
        <w:t>全面增强思政队伍育人合力</w:t>
      </w:r>
      <w:r>
        <w:rPr>
          <w:rFonts w:hint="eastAsia" w:ascii="Times New Roman" w:hAnsi="Times New Roman" w:eastAsia="宋体" w:cs="Times New Roman"/>
          <w:kern w:val="2"/>
          <w:sz w:val="24"/>
          <w:szCs w:val="22"/>
          <w:lang w:val="en" w:eastAsia="zh-CN"/>
        </w:rPr>
        <w:t>。</w:t>
      </w:r>
      <w:r>
        <w:rPr>
          <w:rFonts w:hint="eastAsia"/>
          <w:highlight w:val="none"/>
          <w:lang w:val="en"/>
        </w:rPr>
        <w:t>师德师风建设取得良好成效，全年无师德师</w:t>
      </w:r>
      <w:r>
        <w:rPr>
          <w:rFonts w:hint="eastAsia"/>
          <w:highlight w:val="none"/>
        </w:rPr>
        <w:t>风负面问题，学生指导方面获得奖励的导师共计</w:t>
      </w:r>
      <w:r>
        <w:rPr>
          <w:rFonts w:hint="eastAsia"/>
          <w:highlight w:val="none"/>
          <w:lang w:eastAsia="zh-CN"/>
        </w:rPr>
        <w:t>1</w:t>
      </w:r>
      <w:r>
        <w:rPr>
          <w:rFonts w:hint="eastAsia"/>
          <w:highlight w:val="none"/>
          <w:lang w:val="en-US" w:eastAsia="zh-CN"/>
        </w:rPr>
        <w:t>0</w:t>
      </w:r>
      <w:r>
        <w:rPr>
          <w:rFonts w:hint="eastAsia"/>
          <w:highlight w:val="none"/>
        </w:rPr>
        <w:t>人次，发放奖金</w:t>
      </w:r>
      <w:r>
        <w:rPr>
          <w:rFonts w:hint="eastAsia"/>
          <w:highlight w:val="none"/>
          <w:lang w:eastAsia="zh-CN"/>
        </w:rPr>
        <w:t>7</w:t>
      </w:r>
      <w:r>
        <w:rPr>
          <w:rFonts w:hint="eastAsia"/>
          <w:highlight w:val="none"/>
          <w:lang w:val="en-US" w:eastAsia="zh-CN"/>
        </w:rPr>
        <w:t>0</w:t>
      </w:r>
      <w:r>
        <w:rPr>
          <w:rFonts w:hint="eastAsia"/>
          <w:highlight w:val="none"/>
        </w:rPr>
        <w:t>00元。</w:t>
      </w:r>
    </w:p>
    <w:p>
      <w:pPr>
        <w:pStyle w:val="4"/>
        <w:keepNext w:val="0"/>
        <w:keepLines w:val="0"/>
        <w:widowControl w:val="0"/>
        <w:ind w:firstLine="602" w:firstLineChars="200"/>
        <w:rPr>
          <w:rFonts w:hint="eastAsia"/>
        </w:rPr>
      </w:pPr>
      <w:bookmarkStart w:id="118" w:name="_Toc67497721"/>
      <w:bookmarkStart w:id="119" w:name="_Toc127791873"/>
      <w:bookmarkStart w:id="120" w:name="_Toc25715"/>
      <w:bookmarkStart w:id="121" w:name="_Toc67497684"/>
      <w:bookmarkStart w:id="122" w:name="_Toc9587"/>
      <w:bookmarkStart w:id="123" w:name="_Toc19761"/>
      <w:bookmarkStart w:id="124" w:name="_Toc20423"/>
      <w:bookmarkStart w:id="125" w:name="_Toc24872"/>
      <w:r>
        <w:rPr>
          <w:rFonts w:hint="eastAsia"/>
        </w:rPr>
        <w:t>（三）学术训练</w:t>
      </w:r>
      <w:bookmarkEnd w:id="118"/>
      <w:bookmarkEnd w:id="119"/>
      <w:bookmarkEnd w:id="120"/>
      <w:bookmarkEnd w:id="121"/>
      <w:bookmarkEnd w:id="122"/>
      <w:bookmarkEnd w:id="123"/>
      <w:bookmarkEnd w:id="124"/>
      <w:bookmarkEnd w:id="125"/>
    </w:p>
    <w:p>
      <w:pPr>
        <w:ind w:firstLine="480"/>
        <w:rPr>
          <w:rFonts w:hint="eastAsia"/>
        </w:rPr>
      </w:pPr>
      <w:r>
        <w:rPr>
          <w:rFonts w:hint="eastAsia"/>
        </w:rPr>
        <w:t>我院一直非常重视研究生的</w:t>
      </w:r>
      <w:r>
        <w:rPr>
          <w:rFonts w:hint="eastAsia"/>
          <w:lang w:val="en-US" w:eastAsia="zh-CN"/>
        </w:rPr>
        <w:t>基础</w:t>
      </w:r>
      <w:r>
        <w:rPr>
          <w:rFonts w:hint="eastAsia"/>
        </w:rPr>
        <w:t>理论知识、研究技能、实践和创新能力等方面的学术训练，出台了《广东省社会科学院研究生管理规定（暂行）》《关于派遣全日制研究生赴国外（境外）学习、交流的有关规定》《关于设置“硕士学位论文抽检优秀奖”等奖项的暂行办法》等系列规章制度，已形成较为完善的“四位一体”学术训练体系，详见下图。</w:t>
      </w:r>
    </w:p>
    <w:p>
      <w:pPr>
        <w:spacing w:before="240"/>
        <w:ind w:firstLine="560"/>
        <w:rPr>
          <w:rFonts w:hint="eastAsia" w:ascii="楷体" w:hAnsi="楷体" w:eastAsia="楷体" w:cs="楷体"/>
          <w:sz w:val="28"/>
          <w:szCs w:val="28"/>
        </w:rPr>
      </w:pPr>
      <w:r>
        <w:rPr>
          <w:rFonts w:hint="eastAsia" w:ascii="楷体" w:hAnsi="楷体" w:eastAsia="楷体" w:cs="楷体"/>
          <w:sz w:val="28"/>
          <w:szCs w:val="28"/>
        </w:rPr>
        <w:drawing>
          <wp:inline distT="0" distB="0" distL="114300" distR="114300">
            <wp:extent cx="4743450" cy="2320925"/>
            <wp:effectExtent l="0" t="0" r="0" b="317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4"/>
                    <a:stretch>
                      <a:fillRect/>
                    </a:stretch>
                  </pic:blipFill>
                  <pic:spPr>
                    <a:xfrm>
                      <a:off x="0" y="0"/>
                      <a:ext cx="4743450" cy="2320925"/>
                    </a:xfrm>
                    <a:prstGeom prst="rect">
                      <a:avLst/>
                    </a:prstGeom>
                    <a:noFill/>
                    <a:ln>
                      <a:noFill/>
                    </a:ln>
                  </pic:spPr>
                </pic:pic>
              </a:graphicData>
            </a:graphic>
          </wp:inline>
        </w:drawing>
      </w:r>
    </w:p>
    <w:p>
      <w:pPr>
        <w:pStyle w:val="6"/>
        <w:keepNext w:val="0"/>
        <w:keepLines w:val="0"/>
        <w:spacing w:after="157" w:afterLines="50"/>
        <w:outlineLvl w:val="2"/>
        <w:rPr>
          <w:rFonts w:ascii="Times New Roman" w:hAnsi="Times New Roman" w:eastAsia="仿宋"/>
          <w:b/>
          <w:bCs w:val="0"/>
          <w:sz w:val="22"/>
          <w:szCs w:val="22"/>
        </w:rPr>
      </w:pPr>
      <w:r>
        <w:rPr>
          <w:rFonts w:ascii="Times New Roman" w:hAnsi="Times New Roman" w:eastAsia="仿宋"/>
          <w:b/>
          <w:bCs w:val="0"/>
          <w:sz w:val="22"/>
          <w:szCs w:val="22"/>
        </w:rPr>
        <w:t>图</w:t>
      </w:r>
      <w:r>
        <w:rPr>
          <w:rFonts w:ascii="Times New Roman" w:hAnsi="Times New Roman" w:eastAsia="仿宋"/>
          <w:b/>
          <w:bCs w:val="0"/>
          <w:sz w:val="22"/>
          <w:szCs w:val="22"/>
        </w:rPr>
        <w:fldChar w:fldCharType="begin"/>
      </w:r>
      <w:r>
        <w:rPr>
          <w:rFonts w:ascii="Times New Roman" w:hAnsi="Times New Roman" w:eastAsia="仿宋"/>
          <w:b/>
          <w:bCs w:val="0"/>
          <w:sz w:val="22"/>
          <w:szCs w:val="22"/>
        </w:rPr>
        <w:instrText xml:space="preserve"> SEQ 图 \* ARABIC </w:instrText>
      </w:r>
      <w:r>
        <w:rPr>
          <w:rFonts w:ascii="Times New Roman" w:hAnsi="Times New Roman" w:eastAsia="仿宋"/>
          <w:b/>
          <w:bCs w:val="0"/>
          <w:sz w:val="22"/>
          <w:szCs w:val="22"/>
        </w:rPr>
        <w:fldChar w:fldCharType="separate"/>
      </w:r>
      <w:r>
        <w:rPr>
          <w:rFonts w:ascii="Times New Roman" w:hAnsi="Times New Roman" w:eastAsia="仿宋"/>
          <w:b/>
          <w:bCs w:val="0"/>
          <w:sz w:val="22"/>
          <w:szCs w:val="22"/>
        </w:rPr>
        <w:t>1</w:t>
      </w:r>
      <w:r>
        <w:rPr>
          <w:rFonts w:ascii="Times New Roman" w:hAnsi="Times New Roman" w:eastAsia="仿宋"/>
          <w:b/>
          <w:bCs w:val="0"/>
          <w:sz w:val="22"/>
          <w:szCs w:val="22"/>
        </w:rPr>
        <w:fldChar w:fldCharType="end"/>
      </w:r>
      <w:r>
        <w:rPr>
          <w:rFonts w:ascii="Times New Roman" w:hAnsi="Times New Roman" w:eastAsia="仿宋"/>
          <w:b/>
          <w:bCs w:val="0"/>
          <w:sz w:val="22"/>
          <w:szCs w:val="22"/>
        </w:rPr>
        <w:t xml:space="preserve">  研究生学术训练要素构成示意图</w:t>
      </w:r>
    </w:p>
    <w:p>
      <w:pPr>
        <w:ind w:firstLine="480"/>
        <w:rPr>
          <w:rFonts w:hint="eastAsia"/>
        </w:rPr>
      </w:pPr>
      <w:r>
        <w:rPr>
          <w:rFonts w:hint="eastAsia"/>
        </w:rPr>
        <w:t>一是重视课堂教学。加强对主讲教师的监督与考核，要求主讲教师除传授专业知识与技能外，还应在教学中加强对课程内在规律、思维方法、发展前沿、实际案例的讲解，以激发学生探索知识的兴趣，提高运用科学理论解决实际问题的能力。</w:t>
      </w:r>
    </w:p>
    <w:p>
      <w:pPr>
        <w:ind w:firstLine="480"/>
        <w:rPr>
          <w:rFonts w:hint="eastAsia"/>
        </w:rPr>
      </w:pPr>
      <w:r>
        <w:rPr>
          <w:rFonts w:hint="eastAsia"/>
        </w:rPr>
        <w:t>二是注重科研课题参与。</w:t>
      </w:r>
      <w:r>
        <w:rPr>
          <w:rFonts w:hint="eastAsia"/>
          <w:lang w:val="en-US" w:eastAsia="zh-CN"/>
        </w:rPr>
        <w:t>一方面，</w:t>
      </w:r>
      <w:r>
        <w:rPr>
          <w:rFonts w:hint="eastAsia"/>
        </w:rPr>
        <w:t>我院鼓励并引导</w:t>
      </w:r>
      <w:r>
        <w:rPr>
          <w:rFonts w:hint="eastAsia"/>
          <w:lang w:val="en-US" w:eastAsia="zh-CN"/>
        </w:rPr>
        <w:t>学生</w:t>
      </w:r>
      <w:r>
        <w:rPr>
          <w:rFonts w:hint="eastAsia"/>
        </w:rPr>
        <w:t>积极申报研究生科研创新项目，以提升研究生分析实际问题和解决问题的能力，培养科研素养与</w:t>
      </w:r>
      <w:r>
        <w:rPr>
          <w:rFonts w:hint="eastAsia"/>
          <w:lang w:val="en-US" w:eastAsia="zh-CN"/>
        </w:rPr>
        <w:t>学术</w:t>
      </w:r>
      <w:r>
        <w:rPr>
          <w:rFonts w:hint="eastAsia"/>
        </w:rPr>
        <w:t>能力。2023年，我院支持研究生建立团队开展前沿研究，共资助研究生科研创新项目</w:t>
      </w:r>
      <w:r>
        <w:rPr>
          <w:rFonts w:hint="eastAsia"/>
          <w:lang w:val="en-US" w:eastAsia="zh-CN"/>
        </w:rPr>
        <w:t>13</w:t>
      </w:r>
      <w:r>
        <w:rPr>
          <w:rFonts w:hint="eastAsia"/>
        </w:rPr>
        <w:t>项</w:t>
      </w:r>
      <w:r>
        <w:rPr>
          <w:rFonts w:hint="eastAsia"/>
          <w:lang w:eastAsia="zh-CN"/>
        </w:rPr>
        <w:t>（</w:t>
      </w:r>
      <w:r>
        <w:rPr>
          <w:rFonts w:hint="eastAsia"/>
          <w:lang w:val="en-US" w:eastAsia="zh-CN"/>
        </w:rPr>
        <w:t>见表11</w:t>
      </w:r>
      <w:r>
        <w:rPr>
          <w:rFonts w:hint="eastAsia"/>
          <w:lang w:eastAsia="zh-CN"/>
        </w:rPr>
        <w:t>）。</w:t>
      </w:r>
      <w:r>
        <w:rPr>
          <w:rFonts w:hint="eastAsia"/>
          <w:lang w:val="en-US" w:eastAsia="zh-CN"/>
        </w:rPr>
        <w:t>另一方面，</w:t>
      </w:r>
      <w:r>
        <w:rPr>
          <w:rFonts w:hint="eastAsia"/>
        </w:rPr>
        <w:t>我院一直支持学生</w:t>
      </w:r>
      <w:r>
        <w:rPr>
          <w:rFonts w:hint="eastAsia"/>
          <w:lang w:val="en-US" w:eastAsia="zh-CN"/>
        </w:rPr>
        <w:t>积极</w:t>
      </w:r>
      <w:r>
        <w:rPr>
          <w:rFonts w:hint="eastAsia"/>
        </w:rPr>
        <w:t>参与导师科研课题研究，鼓励各导师</w:t>
      </w:r>
      <w:r>
        <w:rPr>
          <w:rFonts w:hint="eastAsia"/>
          <w:lang w:val="en-US" w:eastAsia="zh-CN"/>
        </w:rPr>
        <w:t>为</w:t>
      </w:r>
      <w:r>
        <w:rPr>
          <w:rFonts w:hint="eastAsia"/>
        </w:rPr>
        <w:t>学生创造参与课题研究的机会，在参与课题</w:t>
      </w:r>
      <w:r>
        <w:rPr>
          <w:rFonts w:hint="eastAsia"/>
          <w:lang w:val="en-US" w:eastAsia="zh-CN"/>
        </w:rPr>
        <w:t>的</w:t>
      </w:r>
      <w:r>
        <w:rPr>
          <w:rFonts w:hint="eastAsia"/>
        </w:rPr>
        <w:t>过程中增强</w:t>
      </w:r>
      <w:r>
        <w:rPr>
          <w:rFonts w:hint="eastAsia"/>
          <w:lang w:eastAsia="zh-CN"/>
        </w:rPr>
        <w:t>理论</w:t>
      </w:r>
      <w:r>
        <w:rPr>
          <w:rFonts w:hint="eastAsia"/>
        </w:rPr>
        <w:t>研究和</w:t>
      </w:r>
      <w:r>
        <w:rPr>
          <w:rFonts w:hint="eastAsia"/>
          <w:lang w:eastAsia="zh-CN"/>
        </w:rPr>
        <w:t>决策研究</w:t>
      </w:r>
      <w:r>
        <w:rPr>
          <w:rFonts w:hint="eastAsia"/>
        </w:rPr>
        <w:t>的水平。在参与形式上，不仅让研究生承担课题材料的收集与整理等初级研究工作，还让研究生承担课题的</w:t>
      </w:r>
      <w:r>
        <w:rPr>
          <w:rFonts w:hint="eastAsia"/>
          <w:lang w:eastAsia="zh-CN"/>
        </w:rPr>
        <w:t>实质性研究</w:t>
      </w:r>
      <w:r>
        <w:rPr>
          <w:rFonts w:hint="eastAsia"/>
        </w:rPr>
        <w:t>任务，做到深度参与和高质量参与。</w:t>
      </w:r>
      <w:r>
        <w:rPr>
          <w:rFonts w:hint="eastAsia"/>
          <w:highlight w:val="none"/>
        </w:rPr>
        <w:t>202</w:t>
      </w:r>
      <w:r>
        <w:rPr>
          <w:rFonts w:hint="eastAsia"/>
          <w:highlight w:val="none"/>
          <w:lang w:eastAsia="zh-CN"/>
        </w:rPr>
        <w:t>3</w:t>
      </w:r>
      <w:r>
        <w:rPr>
          <w:rFonts w:hint="eastAsia"/>
          <w:highlight w:val="none"/>
        </w:rPr>
        <w:t>年，我院在读研究生参与</w:t>
      </w:r>
      <w:r>
        <w:rPr>
          <w:rFonts w:hint="eastAsia"/>
          <w:highlight w:val="none"/>
          <w:lang w:eastAsia="zh-CN"/>
        </w:rPr>
        <w:t>导师</w:t>
      </w:r>
      <w:r>
        <w:rPr>
          <w:rFonts w:hint="eastAsia"/>
          <w:highlight w:val="none"/>
        </w:rPr>
        <w:t>各类科研课题</w:t>
      </w:r>
      <w:r>
        <w:rPr>
          <w:rFonts w:hint="eastAsia"/>
          <w:highlight w:val="none"/>
          <w:lang w:val="en-US" w:eastAsia="zh-CN"/>
        </w:rPr>
        <w:t>22</w:t>
      </w:r>
      <w:r>
        <w:rPr>
          <w:rFonts w:hint="eastAsia"/>
          <w:highlight w:val="none"/>
        </w:rPr>
        <w:t>项（见</w:t>
      </w:r>
      <w:r>
        <w:rPr>
          <w:rFonts w:hint="default"/>
          <w:highlight w:val="none"/>
        </w:rPr>
        <w:t>表1</w:t>
      </w:r>
      <w:r>
        <w:rPr>
          <w:rFonts w:hint="eastAsia"/>
          <w:highlight w:val="none"/>
          <w:lang w:val="en-US" w:eastAsia="zh-CN"/>
        </w:rPr>
        <w:t>2</w:t>
      </w:r>
      <w:r>
        <w:rPr>
          <w:rFonts w:hint="eastAsia"/>
          <w:highlight w:val="none"/>
        </w:rPr>
        <w:t>）</w:t>
      </w:r>
      <w:r>
        <w:rPr>
          <w:rFonts w:hint="eastAsia"/>
        </w:rPr>
        <w:t>。</w:t>
      </w:r>
    </w:p>
    <w:p>
      <w:pPr>
        <w:pStyle w:val="6"/>
        <w:keepNext w:val="0"/>
        <w:keepLines w:val="0"/>
        <w:spacing w:before="0" w:beforeLines="0" w:after="157" w:afterLines="50" w:line="240" w:lineRule="auto"/>
        <w:rPr>
          <w:rFonts w:hint="eastAsia" w:eastAsia="宋体"/>
          <w:b/>
          <w:bCs w:val="0"/>
          <w:highlight w:val="none"/>
          <w:lang w:val="en-US" w:eastAsia="zh-CN"/>
        </w:rPr>
      </w:pPr>
      <w:r>
        <w:rPr>
          <w:rFonts w:hint="eastAsia"/>
          <w:b/>
          <w:bCs w:val="0"/>
          <w:highlight w:val="none"/>
        </w:rPr>
        <w:t>表</w:t>
      </w:r>
      <w:r>
        <w:rPr>
          <w:rFonts w:hint="default" w:ascii="Times New Roman" w:hAnsi="Times New Roman"/>
          <w:b/>
          <w:bCs w:val="0"/>
          <w:highlight w:val="none"/>
        </w:rPr>
        <w:fldChar w:fldCharType="begin"/>
      </w:r>
      <w:r>
        <w:rPr>
          <w:rFonts w:hint="default" w:ascii="Times New Roman" w:hAnsi="Times New Roman"/>
          <w:b/>
          <w:bCs w:val="0"/>
          <w:highlight w:val="none"/>
        </w:rPr>
        <w:instrText xml:space="preserve"> SEQ 表 \* ARABIC </w:instrText>
      </w:r>
      <w:r>
        <w:rPr>
          <w:rFonts w:hint="default" w:ascii="Times New Roman" w:hAnsi="Times New Roman"/>
          <w:b/>
          <w:bCs w:val="0"/>
          <w:highlight w:val="none"/>
        </w:rPr>
        <w:fldChar w:fldCharType="separate"/>
      </w:r>
      <w:r>
        <w:rPr>
          <w:rFonts w:ascii="Times New Roman" w:hAnsi="Times New Roman"/>
          <w:b/>
          <w:bCs w:val="0"/>
          <w:highlight w:val="none"/>
        </w:rPr>
        <w:t>1</w:t>
      </w:r>
      <w:r>
        <w:rPr>
          <w:rFonts w:hint="default" w:ascii="Times New Roman" w:hAnsi="Times New Roman"/>
          <w:b/>
          <w:bCs w:val="0"/>
          <w:highlight w:val="none"/>
        </w:rPr>
        <w:fldChar w:fldCharType="end"/>
      </w:r>
      <w:r>
        <w:rPr>
          <w:rFonts w:hint="eastAsia" w:ascii="Times New Roman" w:hAnsi="Times New Roman"/>
          <w:b/>
          <w:bCs w:val="0"/>
          <w:highlight w:val="none"/>
          <w:lang w:val="en-US" w:eastAsia="zh-CN"/>
        </w:rPr>
        <w:t>1</w:t>
      </w:r>
      <w:r>
        <w:rPr>
          <w:rFonts w:hint="eastAsia"/>
          <w:b/>
          <w:bCs w:val="0"/>
          <w:highlight w:val="none"/>
        </w:rPr>
        <w:t xml:space="preserve">  </w:t>
      </w:r>
      <w:r>
        <w:rPr>
          <w:rFonts w:hint="default" w:ascii="Times New Roman" w:hAnsi="Times New Roman"/>
          <w:b/>
          <w:bCs w:val="0"/>
          <w:highlight w:val="none"/>
        </w:rPr>
        <w:t>202</w:t>
      </w:r>
      <w:r>
        <w:rPr>
          <w:rFonts w:hint="default" w:ascii="Times New Roman" w:hAnsi="Times New Roman"/>
          <w:b/>
          <w:bCs w:val="0"/>
          <w:highlight w:val="none"/>
          <w:lang w:val="en-US" w:eastAsia="zh-CN"/>
        </w:rPr>
        <w:t>3</w:t>
      </w:r>
      <w:r>
        <w:rPr>
          <w:rFonts w:hint="eastAsia"/>
          <w:b/>
          <w:bCs w:val="0"/>
          <w:highlight w:val="none"/>
        </w:rPr>
        <w:t>年研究生科研创新项目立项</w:t>
      </w:r>
      <w:r>
        <w:rPr>
          <w:rFonts w:hint="eastAsia"/>
          <w:b/>
          <w:bCs w:val="0"/>
          <w:highlight w:val="none"/>
          <w:lang w:val="en-US" w:eastAsia="zh-CN"/>
        </w:rPr>
        <w:t>情况</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1"/>
        <w:gridCol w:w="1290"/>
        <w:gridCol w:w="6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Align w:val="center"/>
          </w:tcPr>
          <w:p>
            <w:pPr>
              <w:pStyle w:val="30"/>
              <w:widowControl w:val="0"/>
              <w:spacing w:line="240" w:lineRule="auto"/>
              <w:rPr>
                <w:rFonts w:hint="eastAsia" w:asciiTheme="minorEastAsia" w:hAnsiTheme="minorEastAsia" w:eastAsiaTheme="minorEastAsia" w:cstheme="minorEastAsia"/>
                <w:szCs w:val="21"/>
                <w:vertAlign w:val="baseline"/>
              </w:rPr>
            </w:pPr>
            <w:r>
              <w:rPr>
                <w:rFonts w:hint="eastAsia" w:asciiTheme="minorEastAsia" w:hAnsiTheme="minorEastAsia" w:eastAsiaTheme="minorEastAsia" w:cstheme="minorEastAsia"/>
                <w:szCs w:val="21"/>
              </w:rPr>
              <w:t>序号</w:t>
            </w:r>
          </w:p>
        </w:tc>
        <w:tc>
          <w:tcPr>
            <w:tcW w:w="1290" w:type="dxa"/>
            <w:vAlign w:val="center"/>
          </w:tcPr>
          <w:p>
            <w:pPr>
              <w:pStyle w:val="30"/>
              <w:widowControl w:val="0"/>
              <w:spacing w:line="240" w:lineRule="auto"/>
              <w:rPr>
                <w:rFonts w:hint="eastAsia" w:asciiTheme="minorEastAsia" w:hAnsiTheme="minorEastAsia" w:eastAsiaTheme="minorEastAsia" w:cstheme="minorEastAsia"/>
                <w:szCs w:val="21"/>
                <w:vertAlign w:val="baseline"/>
                <w:lang w:eastAsia="zh-CN"/>
              </w:rPr>
            </w:pPr>
            <w:r>
              <w:rPr>
                <w:rFonts w:hint="eastAsia" w:asciiTheme="minorEastAsia" w:hAnsiTheme="minorEastAsia" w:eastAsiaTheme="minorEastAsia" w:cstheme="minorEastAsia"/>
                <w:szCs w:val="21"/>
                <w:lang w:val="en-US" w:eastAsia="zh-CN"/>
              </w:rPr>
              <w:t>一级学科</w:t>
            </w:r>
          </w:p>
        </w:tc>
        <w:tc>
          <w:tcPr>
            <w:tcW w:w="6581" w:type="dxa"/>
            <w:vAlign w:val="center"/>
          </w:tcPr>
          <w:p>
            <w:pPr>
              <w:pStyle w:val="30"/>
              <w:widowControl w:val="0"/>
              <w:spacing w:line="240" w:lineRule="auto"/>
              <w:rPr>
                <w:rFonts w:hint="eastAsia" w:asciiTheme="minorEastAsia" w:hAnsiTheme="minorEastAsia" w:eastAsiaTheme="minorEastAsia" w:cstheme="minorEastAsia"/>
                <w:szCs w:val="21"/>
                <w:vertAlign w:val="baseline"/>
                <w:lang w:eastAsia="zh-CN"/>
              </w:rPr>
            </w:pPr>
            <w:r>
              <w:rPr>
                <w:rFonts w:hint="eastAsia" w:asciiTheme="minorEastAsia" w:hAnsiTheme="minorEastAsia" w:eastAsiaTheme="minorEastAsia" w:cstheme="minorEastAsia"/>
                <w:szCs w:val="21"/>
                <w:lang w:val="en-US" w:eastAsia="zh-CN"/>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651" w:type="dxa"/>
            <w:vAlign w:val="center"/>
          </w:tcPr>
          <w:p>
            <w:pPr>
              <w:pStyle w:val="20"/>
              <w:autoSpaceDE/>
              <w:autoSpaceDN/>
              <w:spacing w:line="240" w:lineRule="auto"/>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eastAsiaTheme="minorEastAsia"/>
                <w:sz w:val="21"/>
                <w:szCs w:val="21"/>
                <w:vertAlign w:val="baseline"/>
                <w:lang w:val="en-US" w:eastAsia="zh-CN"/>
              </w:rPr>
              <w:t>1</w:t>
            </w:r>
          </w:p>
        </w:tc>
        <w:tc>
          <w:tcPr>
            <w:tcW w:w="1290" w:type="dxa"/>
            <w:vMerge w:val="restart"/>
            <w:vAlign w:val="center"/>
          </w:tcPr>
          <w:p>
            <w:pPr>
              <w:pStyle w:val="20"/>
              <w:autoSpaceDE/>
              <w:autoSpaceDN/>
              <w:spacing w:line="240" w:lineRule="auto"/>
              <w:jc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rPr>
              <w:t>理论经济学</w:t>
            </w:r>
          </w:p>
        </w:tc>
        <w:tc>
          <w:tcPr>
            <w:tcW w:w="6581" w:type="dxa"/>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i w:val="0"/>
                <w:iCs w:val="0"/>
                <w:color w:val="000000"/>
                <w:kern w:val="0"/>
                <w:sz w:val="21"/>
                <w:szCs w:val="21"/>
                <w:u w:val="none"/>
                <w:lang w:val="en-US" w:eastAsia="zh-CN" w:bidi="ar"/>
              </w:rPr>
              <w:t>数字化赋能中国企业海外并购的机理与效应研究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Align w:val="center"/>
          </w:tcPr>
          <w:p>
            <w:pPr>
              <w:pStyle w:val="20"/>
              <w:autoSpaceDE/>
              <w:autoSpaceDN/>
              <w:spacing w:line="240" w:lineRule="auto"/>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eastAsiaTheme="minorEastAsia"/>
                <w:sz w:val="21"/>
                <w:szCs w:val="21"/>
                <w:vertAlign w:val="baseline"/>
                <w:lang w:val="en-US" w:eastAsia="zh-CN"/>
              </w:rPr>
              <w:t>2</w:t>
            </w:r>
          </w:p>
        </w:tc>
        <w:tc>
          <w:tcPr>
            <w:tcW w:w="1290" w:type="dxa"/>
            <w:vMerge w:val="continue"/>
            <w:vAlign w:val="center"/>
          </w:tcPr>
          <w:p>
            <w:pPr>
              <w:pStyle w:val="20"/>
              <w:autoSpaceDE/>
              <w:autoSpaceDN/>
              <w:spacing w:line="240" w:lineRule="auto"/>
              <w:jc w:val="center"/>
              <w:rPr>
                <w:rFonts w:hint="eastAsia" w:asciiTheme="minorEastAsia" w:hAnsiTheme="minorEastAsia" w:eastAsiaTheme="minorEastAsia" w:cstheme="minorEastAsia"/>
                <w:sz w:val="21"/>
                <w:szCs w:val="21"/>
                <w:vertAlign w:val="baseline"/>
              </w:rPr>
            </w:pPr>
          </w:p>
        </w:tc>
        <w:tc>
          <w:tcPr>
            <w:tcW w:w="6581" w:type="dxa"/>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i w:val="0"/>
                <w:iCs w:val="0"/>
                <w:color w:val="000000"/>
                <w:kern w:val="0"/>
                <w:sz w:val="21"/>
                <w:szCs w:val="21"/>
                <w:u w:val="none"/>
                <w:lang w:val="en-US" w:eastAsia="zh-CN" w:bidi="ar"/>
              </w:rPr>
              <w:t>人工智能技术创新与企业绿色转型的实证研究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Align w:val="center"/>
          </w:tcPr>
          <w:p>
            <w:pPr>
              <w:pStyle w:val="20"/>
              <w:autoSpaceDE/>
              <w:autoSpaceDN/>
              <w:spacing w:line="240" w:lineRule="auto"/>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eastAsiaTheme="minorEastAsia"/>
                <w:sz w:val="21"/>
                <w:szCs w:val="21"/>
                <w:vertAlign w:val="baseline"/>
                <w:lang w:val="en-US" w:eastAsia="zh-CN"/>
              </w:rPr>
              <w:t>3</w:t>
            </w:r>
          </w:p>
        </w:tc>
        <w:tc>
          <w:tcPr>
            <w:tcW w:w="1290" w:type="dxa"/>
            <w:vMerge w:val="continue"/>
            <w:vAlign w:val="center"/>
          </w:tcPr>
          <w:p>
            <w:pPr>
              <w:pStyle w:val="20"/>
              <w:autoSpaceDE/>
              <w:autoSpaceDN/>
              <w:spacing w:line="240" w:lineRule="auto"/>
              <w:jc w:val="center"/>
              <w:rPr>
                <w:rFonts w:hint="eastAsia" w:asciiTheme="minorEastAsia" w:hAnsiTheme="minorEastAsia" w:eastAsiaTheme="minorEastAsia" w:cstheme="minorEastAsia"/>
                <w:sz w:val="21"/>
                <w:szCs w:val="21"/>
                <w:vertAlign w:val="baseline"/>
              </w:rPr>
            </w:pPr>
          </w:p>
        </w:tc>
        <w:tc>
          <w:tcPr>
            <w:tcW w:w="6581" w:type="dxa"/>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i w:val="0"/>
                <w:iCs w:val="0"/>
                <w:color w:val="000000"/>
                <w:kern w:val="0"/>
                <w:sz w:val="21"/>
                <w:szCs w:val="21"/>
                <w:u w:val="none"/>
                <w:lang w:val="en-US" w:eastAsia="zh-CN" w:bidi="ar"/>
              </w:rPr>
              <w:t>环境规制影响城市经济韧性的作用机制研究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Align w:val="center"/>
          </w:tcPr>
          <w:p>
            <w:pPr>
              <w:pStyle w:val="20"/>
              <w:autoSpaceDE/>
              <w:autoSpaceDN/>
              <w:spacing w:line="240" w:lineRule="auto"/>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eastAsiaTheme="minorEastAsia"/>
                <w:sz w:val="21"/>
                <w:szCs w:val="21"/>
                <w:vertAlign w:val="baseline"/>
                <w:lang w:val="en-US" w:eastAsia="zh-CN"/>
              </w:rPr>
              <w:t>4</w:t>
            </w:r>
          </w:p>
        </w:tc>
        <w:tc>
          <w:tcPr>
            <w:tcW w:w="1290" w:type="dxa"/>
            <w:vMerge w:val="restart"/>
            <w:vAlign w:val="center"/>
          </w:tcPr>
          <w:p>
            <w:pPr>
              <w:pStyle w:val="20"/>
              <w:autoSpaceDE/>
              <w:autoSpaceDN/>
              <w:spacing w:line="240" w:lineRule="auto"/>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应用经济学</w:t>
            </w:r>
          </w:p>
        </w:tc>
        <w:tc>
          <w:tcPr>
            <w:tcW w:w="6581" w:type="dxa"/>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i w:val="0"/>
                <w:iCs w:val="0"/>
                <w:color w:val="000000"/>
                <w:kern w:val="0"/>
                <w:sz w:val="21"/>
                <w:szCs w:val="21"/>
                <w:u w:val="none"/>
                <w:lang w:val="en-US" w:eastAsia="zh-CN" w:bidi="ar"/>
              </w:rPr>
              <w:t>数字技术赋能粤港澳大湾区金融监管防范化解风险研究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Align w:val="center"/>
          </w:tcPr>
          <w:p>
            <w:pPr>
              <w:pStyle w:val="20"/>
              <w:autoSpaceDE/>
              <w:autoSpaceDN/>
              <w:spacing w:line="240" w:lineRule="auto"/>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eastAsiaTheme="minorEastAsia"/>
                <w:sz w:val="21"/>
                <w:szCs w:val="21"/>
                <w:vertAlign w:val="baseline"/>
                <w:lang w:val="en-US" w:eastAsia="zh-CN"/>
              </w:rPr>
              <w:t>5</w:t>
            </w:r>
          </w:p>
        </w:tc>
        <w:tc>
          <w:tcPr>
            <w:tcW w:w="1290" w:type="dxa"/>
            <w:vMerge w:val="continue"/>
            <w:vAlign w:val="center"/>
          </w:tcPr>
          <w:p>
            <w:pPr>
              <w:pStyle w:val="20"/>
              <w:autoSpaceDE/>
              <w:autoSpaceDN/>
              <w:spacing w:line="240" w:lineRule="auto"/>
              <w:jc w:val="center"/>
              <w:rPr>
                <w:rFonts w:hint="eastAsia" w:asciiTheme="minorEastAsia" w:hAnsiTheme="minorEastAsia" w:eastAsiaTheme="minorEastAsia" w:cstheme="minorEastAsia"/>
                <w:sz w:val="21"/>
                <w:szCs w:val="21"/>
                <w:vertAlign w:val="baseline"/>
              </w:rPr>
            </w:pPr>
          </w:p>
        </w:tc>
        <w:tc>
          <w:tcPr>
            <w:tcW w:w="6581" w:type="dxa"/>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i w:val="0"/>
                <w:iCs w:val="0"/>
                <w:color w:val="000000"/>
                <w:kern w:val="0"/>
                <w:sz w:val="21"/>
                <w:szCs w:val="21"/>
                <w:u w:val="none"/>
                <w:lang w:val="en-US" w:eastAsia="zh-CN" w:bidi="ar"/>
              </w:rPr>
              <w:t>中国碳排放权交易试点对绿色创新的影响机制研究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Align w:val="center"/>
          </w:tcPr>
          <w:p>
            <w:pPr>
              <w:pStyle w:val="20"/>
              <w:autoSpaceDE/>
              <w:autoSpaceDN/>
              <w:spacing w:line="240" w:lineRule="auto"/>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eastAsiaTheme="minorEastAsia"/>
                <w:sz w:val="21"/>
                <w:szCs w:val="21"/>
                <w:vertAlign w:val="baseline"/>
                <w:lang w:val="en-US" w:eastAsia="zh-CN"/>
              </w:rPr>
              <w:t>6</w:t>
            </w:r>
          </w:p>
        </w:tc>
        <w:tc>
          <w:tcPr>
            <w:tcW w:w="1290" w:type="dxa"/>
            <w:vMerge w:val="continue"/>
            <w:vAlign w:val="center"/>
          </w:tcPr>
          <w:p>
            <w:pPr>
              <w:pStyle w:val="20"/>
              <w:autoSpaceDE/>
              <w:autoSpaceDN/>
              <w:spacing w:line="240" w:lineRule="auto"/>
              <w:jc w:val="center"/>
              <w:rPr>
                <w:rFonts w:hint="eastAsia" w:asciiTheme="minorEastAsia" w:hAnsiTheme="minorEastAsia" w:eastAsiaTheme="minorEastAsia" w:cstheme="minorEastAsia"/>
                <w:sz w:val="21"/>
                <w:szCs w:val="21"/>
                <w:vertAlign w:val="baseline"/>
              </w:rPr>
            </w:pPr>
          </w:p>
        </w:tc>
        <w:tc>
          <w:tcPr>
            <w:tcW w:w="6581" w:type="dxa"/>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国企背景风险投资与企业技术创新作用机制研究</w:t>
            </w:r>
          </w:p>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i w:val="0"/>
                <w:iCs w:val="0"/>
                <w:color w:val="000000"/>
                <w:kern w:val="0"/>
                <w:sz w:val="21"/>
                <w:szCs w:val="21"/>
                <w:u w:val="none"/>
                <w:lang w:val="en-US" w:eastAsia="zh-CN" w:bidi="ar"/>
              </w:rPr>
              <w:t>——以信息技术行业为例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Align w:val="center"/>
          </w:tcPr>
          <w:p>
            <w:pPr>
              <w:pStyle w:val="20"/>
              <w:autoSpaceDE/>
              <w:autoSpaceDN/>
              <w:spacing w:line="240" w:lineRule="auto"/>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eastAsiaTheme="minorEastAsia"/>
                <w:sz w:val="21"/>
                <w:szCs w:val="21"/>
                <w:vertAlign w:val="baseline"/>
                <w:lang w:val="en-US" w:eastAsia="zh-CN"/>
              </w:rPr>
              <w:t>7</w:t>
            </w:r>
          </w:p>
        </w:tc>
        <w:tc>
          <w:tcPr>
            <w:tcW w:w="1290" w:type="dxa"/>
            <w:vMerge w:val="continue"/>
            <w:vAlign w:val="center"/>
          </w:tcPr>
          <w:p>
            <w:pPr>
              <w:pStyle w:val="20"/>
              <w:autoSpaceDE/>
              <w:autoSpaceDN/>
              <w:spacing w:line="240" w:lineRule="auto"/>
              <w:jc w:val="center"/>
              <w:rPr>
                <w:rFonts w:hint="eastAsia" w:asciiTheme="minorEastAsia" w:hAnsiTheme="minorEastAsia" w:eastAsiaTheme="minorEastAsia" w:cstheme="minorEastAsia"/>
                <w:sz w:val="21"/>
                <w:szCs w:val="21"/>
                <w:vertAlign w:val="baseline"/>
              </w:rPr>
            </w:pPr>
          </w:p>
        </w:tc>
        <w:tc>
          <w:tcPr>
            <w:tcW w:w="6581" w:type="dxa"/>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i w:val="0"/>
                <w:iCs w:val="0"/>
                <w:color w:val="000000"/>
                <w:kern w:val="0"/>
                <w:sz w:val="21"/>
                <w:szCs w:val="21"/>
                <w:u w:val="none"/>
                <w:lang w:val="en-US" w:eastAsia="zh-CN" w:bidi="ar"/>
              </w:rPr>
              <w:t>旅游产业对城市绿色发展水平影响研究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Align w:val="center"/>
          </w:tcPr>
          <w:p>
            <w:pPr>
              <w:pStyle w:val="20"/>
              <w:autoSpaceDE/>
              <w:autoSpaceDN/>
              <w:spacing w:line="240" w:lineRule="auto"/>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eastAsiaTheme="minorEastAsia"/>
                <w:sz w:val="21"/>
                <w:szCs w:val="21"/>
                <w:vertAlign w:val="baseline"/>
                <w:lang w:val="en-US" w:eastAsia="zh-CN"/>
              </w:rPr>
              <w:t>8</w:t>
            </w:r>
          </w:p>
        </w:tc>
        <w:tc>
          <w:tcPr>
            <w:tcW w:w="1290" w:type="dxa"/>
            <w:vMerge w:val="continue"/>
            <w:vAlign w:val="center"/>
          </w:tcPr>
          <w:p>
            <w:pPr>
              <w:pStyle w:val="20"/>
              <w:autoSpaceDE/>
              <w:autoSpaceDN/>
              <w:spacing w:line="240" w:lineRule="auto"/>
              <w:jc w:val="center"/>
              <w:rPr>
                <w:rFonts w:hint="eastAsia" w:asciiTheme="minorEastAsia" w:hAnsiTheme="minorEastAsia" w:eastAsiaTheme="minorEastAsia" w:cstheme="minorEastAsia"/>
                <w:sz w:val="21"/>
                <w:szCs w:val="21"/>
                <w:vertAlign w:val="baseline"/>
              </w:rPr>
            </w:pPr>
          </w:p>
        </w:tc>
        <w:tc>
          <w:tcPr>
            <w:tcW w:w="6581" w:type="dxa"/>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i w:val="0"/>
                <w:iCs w:val="0"/>
                <w:color w:val="000000"/>
                <w:kern w:val="0"/>
                <w:sz w:val="21"/>
                <w:szCs w:val="21"/>
                <w:u w:val="none"/>
                <w:lang w:val="en-US" w:eastAsia="zh-CN" w:bidi="ar"/>
              </w:rPr>
              <w:t>基于产业关联溢出效应视角下探究数字经济对企业可持续发展的影响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Align w:val="center"/>
          </w:tcPr>
          <w:p>
            <w:pPr>
              <w:pStyle w:val="20"/>
              <w:autoSpaceDE/>
              <w:autoSpaceDN/>
              <w:spacing w:line="240" w:lineRule="auto"/>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eastAsiaTheme="minorEastAsia"/>
                <w:sz w:val="21"/>
                <w:szCs w:val="21"/>
                <w:vertAlign w:val="baseline"/>
                <w:lang w:val="en-US" w:eastAsia="zh-CN"/>
              </w:rPr>
              <w:t>9</w:t>
            </w:r>
          </w:p>
        </w:tc>
        <w:tc>
          <w:tcPr>
            <w:tcW w:w="1290" w:type="dxa"/>
            <w:vMerge w:val="restart"/>
            <w:vAlign w:val="center"/>
          </w:tcPr>
          <w:p>
            <w:pPr>
              <w:pStyle w:val="20"/>
              <w:autoSpaceDE/>
              <w:autoSpaceDN/>
              <w:spacing w:line="240" w:lineRule="auto"/>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社会学</w:t>
            </w:r>
          </w:p>
        </w:tc>
        <w:tc>
          <w:tcPr>
            <w:tcW w:w="6581" w:type="dxa"/>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i w:val="0"/>
                <w:iCs w:val="0"/>
                <w:color w:val="000000"/>
                <w:kern w:val="0"/>
                <w:sz w:val="21"/>
                <w:szCs w:val="21"/>
                <w:u w:val="none"/>
                <w:lang w:val="en-US" w:eastAsia="zh-CN" w:bidi="ar"/>
              </w:rPr>
              <w:t>小青柑茶的“诞生”：地方性知识与饮食文化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Align w:val="center"/>
          </w:tcPr>
          <w:p>
            <w:pPr>
              <w:pStyle w:val="20"/>
              <w:autoSpaceDE/>
              <w:autoSpaceDN/>
              <w:spacing w:line="240" w:lineRule="auto"/>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eastAsiaTheme="minorEastAsia"/>
                <w:sz w:val="21"/>
                <w:szCs w:val="21"/>
                <w:vertAlign w:val="baseline"/>
                <w:lang w:val="en-US" w:eastAsia="zh-CN"/>
              </w:rPr>
              <w:t>10</w:t>
            </w:r>
          </w:p>
        </w:tc>
        <w:tc>
          <w:tcPr>
            <w:tcW w:w="1290" w:type="dxa"/>
            <w:vMerge w:val="continue"/>
            <w:vAlign w:val="center"/>
          </w:tcPr>
          <w:p>
            <w:pPr>
              <w:pStyle w:val="20"/>
              <w:autoSpaceDE/>
              <w:autoSpaceDN/>
              <w:spacing w:line="240" w:lineRule="auto"/>
              <w:jc w:val="center"/>
              <w:rPr>
                <w:rFonts w:hint="eastAsia" w:asciiTheme="minorEastAsia" w:hAnsiTheme="minorEastAsia" w:eastAsiaTheme="minorEastAsia" w:cstheme="minorEastAsia"/>
                <w:sz w:val="21"/>
                <w:szCs w:val="21"/>
                <w:vertAlign w:val="baseline"/>
              </w:rPr>
            </w:pPr>
          </w:p>
        </w:tc>
        <w:tc>
          <w:tcPr>
            <w:tcW w:w="6581" w:type="dxa"/>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i w:val="0"/>
                <w:iCs w:val="0"/>
                <w:color w:val="000000"/>
                <w:kern w:val="0"/>
                <w:sz w:val="21"/>
                <w:szCs w:val="21"/>
                <w:u w:val="none"/>
                <w:lang w:val="en-US" w:eastAsia="zh-CN" w:bidi="ar"/>
              </w:rPr>
              <w:t>搭子社交：青年的新交往模式及其形成机制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Align w:val="center"/>
          </w:tcPr>
          <w:p>
            <w:pPr>
              <w:pStyle w:val="20"/>
              <w:autoSpaceDE/>
              <w:autoSpaceDN/>
              <w:spacing w:line="240" w:lineRule="auto"/>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eastAsiaTheme="minorEastAsia"/>
                <w:sz w:val="21"/>
                <w:szCs w:val="21"/>
                <w:vertAlign w:val="baseline"/>
                <w:lang w:val="en-US" w:eastAsia="zh-CN"/>
              </w:rPr>
              <w:t>11</w:t>
            </w:r>
          </w:p>
        </w:tc>
        <w:tc>
          <w:tcPr>
            <w:tcW w:w="1290" w:type="dxa"/>
            <w:vMerge w:val="continue"/>
            <w:vAlign w:val="center"/>
          </w:tcPr>
          <w:p>
            <w:pPr>
              <w:pStyle w:val="20"/>
              <w:autoSpaceDE/>
              <w:autoSpaceDN/>
              <w:spacing w:line="240" w:lineRule="auto"/>
              <w:jc w:val="center"/>
              <w:rPr>
                <w:rFonts w:hint="eastAsia" w:asciiTheme="minorEastAsia" w:hAnsiTheme="minorEastAsia" w:eastAsiaTheme="minorEastAsia" w:cstheme="minorEastAsia"/>
                <w:sz w:val="21"/>
                <w:szCs w:val="21"/>
                <w:vertAlign w:val="baseline"/>
              </w:rPr>
            </w:pPr>
          </w:p>
        </w:tc>
        <w:tc>
          <w:tcPr>
            <w:tcW w:w="6581" w:type="dxa"/>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i w:val="0"/>
                <w:iCs w:val="0"/>
                <w:color w:val="000000"/>
                <w:kern w:val="0"/>
                <w:sz w:val="21"/>
                <w:szCs w:val="21"/>
                <w:u w:val="none"/>
                <w:lang w:val="en-US" w:eastAsia="zh-CN" w:bidi="ar"/>
              </w:rPr>
              <w:t>粤港澳大湾区港澳青年的社会融合研究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Align w:val="center"/>
          </w:tcPr>
          <w:p>
            <w:pPr>
              <w:pStyle w:val="20"/>
              <w:autoSpaceDE/>
              <w:autoSpaceDN/>
              <w:spacing w:line="240" w:lineRule="auto"/>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eastAsiaTheme="minorEastAsia"/>
                <w:sz w:val="21"/>
                <w:szCs w:val="21"/>
                <w:vertAlign w:val="baseline"/>
                <w:lang w:val="en-US" w:eastAsia="zh-CN"/>
              </w:rPr>
              <w:t>12</w:t>
            </w:r>
          </w:p>
        </w:tc>
        <w:tc>
          <w:tcPr>
            <w:tcW w:w="1290" w:type="dxa"/>
            <w:vMerge w:val="restart"/>
            <w:vAlign w:val="center"/>
          </w:tcPr>
          <w:p>
            <w:pPr>
              <w:pStyle w:val="20"/>
              <w:autoSpaceDE/>
              <w:autoSpaceDN/>
              <w:spacing w:line="240" w:lineRule="auto"/>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中国史</w:t>
            </w:r>
          </w:p>
        </w:tc>
        <w:tc>
          <w:tcPr>
            <w:tcW w:w="6581" w:type="dxa"/>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i w:val="0"/>
                <w:iCs w:val="0"/>
                <w:color w:val="000000"/>
                <w:kern w:val="0"/>
                <w:sz w:val="21"/>
                <w:szCs w:val="21"/>
                <w:u w:val="none"/>
                <w:lang w:val="en-US" w:eastAsia="zh-CN" w:bidi="ar"/>
              </w:rPr>
              <w:t>清代中期粤水师战船转型研究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Align w:val="center"/>
          </w:tcPr>
          <w:p>
            <w:pPr>
              <w:pStyle w:val="20"/>
              <w:autoSpaceDE/>
              <w:autoSpaceDN/>
              <w:spacing w:line="240" w:lineRule="auto"/>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eastAsiaTheme="minorEastAsia"/>
                <w:sz w:val="21"/>
                <w:szCs w:val="21"/>
                <w:vertAlign w:val="baseline"/>
                <w:lang w:val="en-US" w:eastAsia="zh-CN"/>
              </w:rPr>
              <w:t>13</w:t>
            </w:r>
          </w:p>
        </w:tc>
        <w:tc>
          <w:tcPr>
            <w:tcW w:w="1290" w:type="dxa"/>
            <w:vMerge w:val="continue"/>
            <w:vAlign w:val="center"/>
          </w:tcPr>
          <w:p>
            <w:pPr>
              <w:pStyle w:val="20"/>
              <w:autoSpaceDE/>
              <w:autoSpaceDN/>
              <w:spacing w:line="240" w:lineRule="auto"/>
              <w:jc w:val="center"/>
              <w:rPr>
                <w:rFonts w:hint="eastAsia" w:asciiTheme="minorEastAsia" w:hAnsiTheme="minorEastAsia" w:eastAsiaTheme="minorEastAsia" w:cstheme="minorEastAsia"/>
                <w:sz w:val="21"/>
                <w:szCs w:val="21"/>
                <w:vertAlign w:val="baseline"/>
              </w:rPr>
            </w:pPr>
          </w:p>
        </w:tc>
        <w:tc>
          <w:tcPr>
            <w:tcW w:w="6581" w:type="dxa"/>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i w:val="0"/>
                <w:iCs w:val="0"/>
                <w:color w:val="000000"/>
                <w:kern w:val="0"/>
                <w:sz w:val="21"/>
                <w:szCs w:val="21"/>
                <w:u w:val="none"/>
                <w:lang w:val="en-US" w:eastAsia="zh-CN" w:bidi="ar"/>
              </w:rPr>
              <w:t>明代海南的城池建设</w:t>
            </w:r>
          </w:p>
        </w:tc>
      </w:tr>
    </w:tbl>
    <w:p>
      <w:pPr>
        <w:pStyle w:val="6"/>
        <w:keepNext w:val="0"/>
        <w:keepLines w:val="0"/>
        <w:spacing w:before="251" w:beforeLines="80" w:after="157" w:afterLines="50" w:line="240" w:lineRule="auto"/>
        <w:rPr>
          <w:rFonts w:hint="eastAsia" w:eastAsia="宋体"/>
          <w:b/>
          <w:bCs w:val="0"/>
          <w:highlight w:val="none"/>
          <w:lang w:eastAsia="zh-CN"/>
        </w:rPr>
      </w:pPr>
      <w:r>
        <w:rPr>
          <w:rFonts w:hint="eastAsia"/>
          <w:b/>
          <w:bCs w:val="0"/>
          <w:highlight w:val="none"/>
        </w:rPr>
        <w:t>表</w:t>
      </w:r>
      <w:r>
        <w:rPr>
          <w:rFonts w:hint="default" w:ascii="Times New Roman" w:hAnsi="Times New Roman"/>
          <w:b/>
          <w:bCs w:val="0"/>
          <w:highlight w:val="none"/>
        </w:rPr>
        <w:fldChar w:fldCharType="begin"/>
      </w:r>
      <w:r>
        <w:rPr>
          <w:rFonts w:hint="default" w:ascii="Times New Roman" w:hAnsi="Times New Roman"/>
          <w:b/>
          <w:bCs w:val="0"/>
          <w:highlight w:val="none"/>
        </w:rPr>
        <w:instrText xml:space="preserve"> SEQ 表 \* ARABIC </w:instrText>
      </w:r>
      <w:r>
        <w:rPr>
          <w:rFonts w:hint="default" w:ascii="Times New Roman" w:hAnsi="Times New Roman"/>
          <w:b/>
          <w:bCs w:val="0"/>
          <w:highlight w:val="none"/>
        </w:rPr>
        <w:fldChar w:fldCharType="separate"/>
      </w:r>
      <w:r>
        <w:rPr>
          <w:rFonts w:ascii="Times New Roman" w:hAnsi="Times New Roman"/>
          <w:b/>
          <w:bCs w:val="0"/>
          <w:highlight w:val="none"/>
        </w:rPr>
        <w:t>1</w:t>
      </w:r>
      <w:r>
        <w:rPr>
          <w:rFonts w:hint="default" w:ascii="Times New Roman" w:hAnsi="Times New Roman"/>
          <w:b/>
          <w:bCs w:val="0"/>
          <w:highlight w:val="none"/>
        </w:rPr>
        <w:fldChar w:fldCharType="end"/>
      </w:r>
      <w:r>
        <w:rPr>
          <w:rFonts w:hint="eastAsia" w:ascii="Times New Roman" w:hAnsi="Times New Roman"/>
          <w:b/>
          <w:bCs w:val="0"/>
          <w:highlight w:val="none"/>
          <w:lang w:val="en-US" w:eastAsia="zh-CN"/>
        </w:rPr>
        <w:t>2</w:t>
      </w:r>
      <w:r>
        <w:rPr>
          <w:rFonts w:hint="eastAsia"/>
          <w:b/>
          <w:bCs w:val="0"/>
          <w:highlight w:val="none"/>
        </w:rPr>
        <w:t xml:space="preserve">  </w:t>
      </w:r>
      <w:r>
        <w:rPr>
          <w:rFonts w:hint="default" w:ascii="Times New Roman" w:hAnsi="Times New Roman"/>
          <w:b/>
          <w:bCs w:val="0"/>
          <w:highlight w:val="none"/>
        </w:rPr>
        <w:t>202</w:t>
      </w:r>
      <w:r>
        <w:rPr>
          <w:rFonts w:hint="default" w:ascii="Times New Roman" w:hAnsi="Times New Roman"/>
          <w:b/>
          <w:bCs w:val="0"/>
          <w:highlight w:val="none"/>
          <w:lang w:val="en-US" w:eastAsia="zh-CN"/>
        </w:rPr>
        <w:t>3</w:t>
      </w:r>
      <w:r>
        <w:rPr>
          <w:rFonts w:hint="eastAsia"/>
          <w:b/>
          <w:bCs w:val="0"/>
          <w:highlight w:val="none"/>
        </w:rPr>
        <w:t>年研究生参与课题</w:t>
      </w:r>
      <w:r>
        <w:rPr>
          <w:rFonts w:hint="eastAsia"/>
          <w:b/>
          <w:bCs w:val="0"/>
          <w:highlight w:val="none"/>
          <w:lang w:eastAsia="zh-CN"/>
        </w:rPr>
        <w:t>情况</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4620"/>
        <w:gridCol w:w="3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szCs w:val="21"/>
              </w:rPr>
            </w:pPr>
            <w:r>
              <w:rPr>
                <w:szCs w:val="21"/>
              </w:rPr>
              <w:t>序号</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szCs w:val="21"/>
              </w:rPr>
            </w:pPr>
            <w:r>
              <w:rPr>
                <w:szCs w:val="21"/>
              </w:rPr>
              <w:t>课题名称</w:t>
            </w:r>
          </w:p>
        </w:tc>
        <w:tc>
          <w:tcPr>
            <w:tcW w:w="3236"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szCs w:val="21"/>
              </w:rPr>
            </w:pPr>
            <w:r>
              <w:rPr>
                <w:szCs w:val="21"/>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szCs w:val="21"/>
              </w:rPr>
            </w:pPr>
            <w:r>
              <w:rPr>
                <w:szCs w:val="21"/>
              </w:rPr>
              <w:t>1</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CESI宋体-GB2312" w:cs="Times New Roman"/>
                <w:b w:val="0"/>
                <w:bCs w:val="0"/>
                <w:i w:val="0"/>
                <w:iCs w:val="0"/>
                <w:color w:val="000000"/>
                <w:kern w:val="0"/>
                <w:sz w:val="21"/>
                <w:szCs w:val="21"/>
                <w:u w:val="none"/>
                <w:lang w:val="en-US" w:eastAsia="zh-CN" w:bidi="ar"/>
              </w:rPr>
              <w:t>绿美广东高质量发展调研报告</w:t>
            </w:r>
          </w:p>
        </w:tc>
        <w:tc>
          <w:tcPr>
            <w:tcW w:w="32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CESI宋体-GB2312" w:cs="Times New Roman"/>
                <w:b w:val="0"/>
                <w:bCs w:val="0"/>
                <w:i w:val="0"/>
                <w:iCs w:val="0"/>
                <w:color w:val="000000"/>
                <w:kern w:val="0"/>
                <w:sz w:val="21"/>
                <w:szCs w:val="21"/>
                <w:u w:val="none"/>
                <w:lang w:val="en-US" w:eastAsia="zh-CN" w:bidi="ar"/>
              </w:rPr>
              <w:t>省社科规划特别委托重点项目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szCs w:val="21"/>
              </w:rPr>
            </w:pPr>
            <w:r>
              <w:rPr>
                <w:rFonts w:hint="default"/>
                <w:szCs w:val="21"/>
              </w:rPr>
              <w:t>2</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CESI宋体-GB2312" w:cs="Times New Roman"/>
                <w:b w:val="0"/>
                <w:bCs w:val="0"/>
                <w:i w:val="0"/>
                <w:iCs w:val="0"/>
                <w:color w:val="000000"/>
                <w:kern w:val="0"/>
                <w:sz w:val="21"/>
                <w:szCs w:val="21"/>
                <w:u w:val="none"/>
                <w:lang w:val="en-US" w:eastAsia="zh-CN" w:bidi="ar"/>
              </w:rPr>
            </w:pPr>
            <w:r>
              <w:rPr>
                <w:rFonts w:hint="default" w:ascii="Times New Roman" w:hAnsi="Times New Roman" w:eastAsia="CESI宋体-GB2312" w:cs="Times New Roman"/>
                <w:b w:val="0"/>
                <w:bCs w:val="0"/>
                <w:i w:val="0"/>
                <w:iCs w:val="0"/>
                <w:color w:val="000000"/>
                <w:kern w:val="0"/>
                <w:sz w:val="21"/>
                <w:szCs w:val="21"/>
                <w:u w:val="none"/>
                <w:lang w:val="en-US" w:eastAsia="zh-CN" w:bidi="ar"/>
              </w:rPr>
              <w:t>扶贫车间与回归</w:t>
            </w:r>
            <w:r>
              <w:rPr>
                <w:rFonts w:hint="eastAsia" w:eastAsia="CESI宋体-GB2312" w:cs="Times New Roman"/>
                <w:b w:val="0"/>
                <w:bCs w:val="0"/>
                <w:i w:val="0"/>
                <w:iCs w:val="0"/>
                <w:color w:val="000000"/>
                <w:kern w:val="0"/>
                <w:sz w:val="21"/>
                <w:szCs w:val="21"/>
                <w:u w:val="none"/>
                <w:lang w:val="en-US" w:eastAsia="zh-CN" w:bidi="ar"/>
              </w:rPr>
              <w:t>“</w:t>
            </w:r>
            <w:r>
              <w:rPr>
                <w:rFonts w:hint="default" w:ascii="Times New Roman" w:hAnsi="Times New Roman" w:eastAsia="CESI宋体-GB2312" w:cs="Times New Roman"/>
                <w:b w:val="0"/>
                <w:bCs w:val="0"/>
                <w:i w:val="0"/>
                <w:iCs w:val="0"/>
                <w:color w:val="000000"/>
                <w:kern w:val="0"/>
                <w:sz w:val="21"/>
                <w:szCs w:val="21"/>
                <w:u w:val="none"/>
                <w:lang w:val="en-US" w:eastAsia="zh-CN" w:bidi="ar"/>
              </w:rPr>
              <w:t>附近</w:t>
            </w:r>
            <w:r>
              <w:rPr>
                <w:rFonts w:hint="eastAsia" w:eastAsia="CESI宋体-GB2312" w:cs="Times New Roman"/>
                <w:b w:val="0"/>
                <w:bCs w:val="0"/>
                <w:i w:val="0"/>
                <w:iCs w:val="0"/>
                <w:color w:val="000000"/>
                <w:kern w:val="0"/>
                <w:sz w:val="21"/>
                <w:szCs w:val="21"/>
                <w:u w:val="none"/>
                <w:lang w:val="en-US" w:eastAsia="zh-CN" w:bidi="ar"/>
              </w:rPr>
              <w:t>”</w:t>
            </w:r>
            <w:r>
              <w:rPr>
                <w:rFonts w:hint="default" w:ascii="Times New Roman" w:hAnsi="Times New Roman" w:eastAsia="CESI宋体-GB2312" w:cs="Times New Roman"/>
                <w:b w:val="0"/>
                <w:bCs w:val="0"/>
                <w:i w:val="0"/>
                <w:iCs w:val="0"/>
                <w:color w:val="000000"/>
                <w:kern w:val="0"/>
                <w:sz w:val="21"/>
                <w:szCs w:val="21"/>
                <w:u w:val="none"/>
                <w:lang w:val="en-US" w:eastAsia="zh-CN" w:bidi="ar"/>
              </w:rPr>
              <w:t>的团结劳动研究</w:t>
            </w:r>
          </w:p>
        </w:tc>
        <w:tc>
          <w:tcPr>
            <w:tcW w:w="32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CESI宋体-GB2312" w:cs="Times New Roman"/>
                <w:b w:val="0"/>
                <w:bCs w:val="0"/>
                <w:i w:val="0"/>
                <w:iCs w:val="0"/>
                <w:color w:val="000000"/>
                <w:kern w:val="0"/>
                <w:sz w:val="21"/>
                <w:szCs w:val="21"/>
                <w:u w:val="none"/>
                <w:lang w:val="en-US" w:eastAsia="zh-CN" w:bidi="ar"/>
              </w:rPr>
            </w:pPr>
            <w:r>
              <w:rPr>
                <w:rFonts w:hint="default" w:ascii="Times New Roman" w:hAnsi="Times New Roman" w:eastAsia="CESI宋体-GB2312" w:cs="Times New Roman"/>
                <w:b w:val="0"/>
                <w:bCs w:val="0"/>
                <w:i w:val="0"/>
                <w:iCs w:val="0"/>
                <w:color w:val="000000"/>
                <w:kern w:val="0"/>
                <w:sz w:val="21"/>
                <w:szCs w:val="21"/>
                <w:u w:val="none"/>
                <w:lang w:val="en-US" w:eastAsia="zh-CN" w:bidi="ar"/>
              </w:rPr>
              <w:t>省社科规划项目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szCs w:val="21"/>
              </w:rPr>
            </w:pPr>
            <w:r>
              <w:rPr>
                <w:rFonts w:hint="default"/>
                <w:szCs w:val="21"/>
              </w:rPr>
              <w:t>3</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CESI宋体-GB2312" w:cs="Times New Roman"/>
                <w:b w:val="0"/>
                <w:bCs w:val="0"/>
                <w:i w:val="0"/>
                <w:iCs w:val="0"/>
                <w:color w:val="000000"/>
                <w:kern w:val="0"/>
                <w:sz w:val="21"/>
                <w:szCs w:val="21"/>
                <w:u w:val="none"/>
                <w:lang w:val="en-US" w:eastAsia="zh-CN" w:bidi="ar"/>
              </w:rPr>
            </w:pPr>
            <w:r>
              <w:rPr>
                <w:rFonts w:hint="default" w:ascii="Times New Roman" w:hAnsi="Times New Roman" w:eastAsia="CESI宋体-GB2312" w:cs="Times New Roman"/>
                <w:b w:val="0"/>
                <w:bCs w:val="0"/>
                <w:i w:val="0"/>
                <w:iCs w:val="0"/>
                <w:color w:val="000000"/>
                <w:kern w:val="0"/>
                <w:sz w:val="21"/>
                <w:szCs w:val="21"/>
                <w:u w:val="none"/>
                <w:lang w:val="en-US" w:eastAsia="zh-CN" w:bidi="ar"/>
              </w:rPr>
              <w:t>2022-2023</w:t>
            </w:r>
            <w:r>
              <w:rPr>
                <w:rFonts w:hint="eastAsia" w:eastAsia="CESI宋体-GB2312" w:cs="Times New Roman"/>
                <w:b w:val="0"/>
                <w:bCs w:val="0"/>
                <w:i w:val="0"/>
                <w:iCs w:val="0"/>
                <w:color w:val="000000"/>
                <w:kern w:val="0"/>
                <w:sz w:val="21"/>
                <w:szCs w:val="21"/>
                <w:u w:val="none"/>
                <w:lang w:val="en-US" w:eastAsia="zh-CN" w:bidi="ar"/>
              </w:rPr>
              <w:t>年</w:t>
            </w:r>
            <w:r>
              <w:rPr>
                <w:rFonts w:hint="default" w:ascii="Times New Roman" w:hAnsi="Times New Roman" w:eastAsia="CESI宋体-GB2312" w:cs="Times New Roman"/>
                <w:b w:val="0"/>
                <w:bCs w:val="0"/>
                <w:i w:val="0"/>
                <w:iCs w:val="0"/>
                <w:color w:val="000000"/>
                <w:kern w:val="0"/>
                <w:sz w:val="21"/>
                <w:szCs w:val="21"/>
                <w:u w:val="none"/>
                <w:lang w:val="en-US" w:eastAsia="zh-CN" w:bidi="ar"/>
              </w:rPr>
              <w:t>广东对外经贸发展形势分析与预测</w:t>
            </w:r>
          </w:p>
        </w:tc>
        <w:tc>
          <w:tcPr>
            <w:tcW w:w="32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CESI宋体-GB2312" w:cs="Times New Roman"/>
                <w:b w:val="0"/>
                <w:bCs w:val="0"/>
                <w:i w:val="0"/>
                <w:iCs w:val="0"/>
                <w:color w:val="000000"/>
                <w:kern w:val="0"/>
                <w:sz w:val="21"/>
                <w:szCs w:val="21"/>
                <w:u w:val="none"/>
                <w:lang w:val="en-US" w:eastAsia="zh-CN" w:bidi="ar"/>
              </w:rPr>
            </w:pPr>
            <w:r>
              <w:rPr>
                <w:rFonts w:hint="default" w:ascii="Times New Roman" w:hAnsi="Times New Roman" w:eastAsia="CESI宋体-GB2312" w:cs="Times New Roman"/>
                <w:b w:val="0"/>
                <w:bCs w:val="0"/>
                <w:i w:val="0"/>
                <w:iCs w:val="0"/>
                <w:color w:val="000000"/>
                <w:kern w:val="0"/>
                <w:sz w:val="21"/>
                <w:szCs w:val="21"/>
                <w:u w:val="none"/>
                <w:lang w:val="en-US" w:eastAsia="zh-CN" w:bidi="ar"/>
              </w:rPr>
              <w:t>广东蓝皮书</w:t>
            </w:r>
            <w:r>
              <w:rPr>
                <w:rFonts w:hint="eastAsia" w:eastAsia="CESI宋体-GB2312" w:cs="Times New Roman"/>
                <w:b w:val="0"/>
                <w:bCs w:val="0"/>
                <w:i w:val="0"/>
                <w:iCs w:val="0"/>
                <w:color w:val="000000"/>
                <w:kern w:val="0"/>
                <w:sz w:val="21"/>
                <w:szCs w:val="21"/>
                <w:u w:val="none"/>
                <w:lang w:val="en-US" w:eastAsia="zh-CN" w:bidi="ar"/>
              </w:rPr>
              <w:t>《</w:t>
            </w:r>
            <w:r>
              <w:rPr>
                <w:rFonts w:hint="default" w:ascii="Times New Roman" w:hAnsi="Times New Roman" w:eastAsia="CESI宋体-GB2312" w:cs="Times New Roman"/>
                <w:b w:val="0"/>
                <w:bCs w:val="0"/>
                <w:i w:val="0"/>
                <w:iCs w:val="0"/>
                <w:color w:val="000000"/>
                <w:kern w:val="0"/>
                <w:sz w:val="21"/>
                <w:szCs w:val="21"/>
                <w:u w:val="none"/>
                <w:lang w:val="en-US" w:eastAsia="zh-CN" w:bidi="ar"/>
              </w:rPr>
              <w:t>广东经济社会形势分析与预测（2023）</w:t>
            </w:r>
            <w:r>
              <w:rPr>
                <w:rFonts w:hint="eastAsia" w:eastAsia="CESI宋体-GB2312" w:cs="Times New Roman"/>
                <w:b w:val="0"/>
                <w:bCs w:val="0"/>
                <w:i w:val="0"/>
                <w:iCs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szCs w:val="21"/>
              </w:rPr>
            </w:pPr>
            <w:r>
              <w:rPr>
                <w:rFonts w:hint="default"/>
                <w:szCs w:val="21"/>
              </w:rPr>
              <w:t>4</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kern w:val="2"/>
                <w:sz w:val="24"/>
                <w:szCs w:val="21"/>
                <w:lang w:val="en-US" w:eastAsia="zh-CN" w:bidi="ar-SA"/>
              </w:rPr>
            </w:pPr>
            <w:r>
              <w:rPr>
                <w:rFonts w:hint="default" w:ascii="Times New Roman" w:hAnsi="Times New Roman" w:eastAsia="CESI宋体-GB2312" w:cs="Times New Roman"/>
                <w:b w:val="0"/>
                <w:bCs w:val="0"/>
                <w:i w:val="0"/>
                <w:iCs w:val="0"/>
                <w:color w:val="000000"/>
                <w:kern w:val="0"/>
                <w:sz w:val="21"/>
                <w:szCs w:val="21"/>
                <w:u w:val="none"/>
                <w:lang w:val="en-US" w:eastAsia="zh-CN" w:bidi="ar"/>
              </w:rPr>
              <w:t>2023-2024年广东对外经贸形势分析与预测报告</w:t>
            </w:r>
          </w:p>
        </w:tc>
        <w:tc>
          <w:tcPr>
            <w:tcW w:w="32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kern w:val="2"/>
                <w:sz w:val="24"/>
                <w:szCs w:val="21"/>
                <w:lang w:val="en-US" w:eastAsia="zh-CN" w:bidi="ar-SA"/>
              </w:rPr>
            </w:pPr>
            <w:r>
              <w:rPr>
                <w:rFonts w:hint="default" w:ascii="Times New Roman" w:hAnsi="Times New Roman" w:eastAsia="CESI宋体-GB2312" w:cs="Times New Roman"/>
                <w:b w:val="0"/>
                <w:bCs w:val="0"/>
                <w:i w:val="0"/>
                <w:iCs w:val="0"/>
                <w:color w:val="000000"/>
                <w:kern w:val="0"/>
                <w:sz w:val="21"/>
                <w:szCs w:val="21"/>
                <w:u w:val="none"/>
                <w:lang w:val="en-US" w:eastAsia="zh-CN" w:bidi="ar"/>
              </w:rPr>
              <w:t>广东蓝皮书</w:t>
            </w:r>
            <w:r>
              <w:rPr>
                <w:rFonts w:hint="eastAsia" w:ascii="Times New Roman" w:hAnsi="Times New Roman" w:eastAsia="CESI宋体-GB2312" w:cs="Times New Roman"/>
                <w:b w:val="0"/>
                <w:bCs w:val="0"/>
                <w:i w:val="0"/>
                <w:iCs w:val="0"/>
                <w:color w:val="000000"/>
                <w:kern w:val="0"/>
                <w:sz w:val="21"/>
                <w:szCs w:val="21"/>
                <w:u w:val="none"/>
                <w:lang w:val="en-US" w:eastAsia="zh-CN" w:bidi="ar"/>
              </w:rPr>
              <w:t>《</w:t>
            </w:r>
            <w:r>
              <w:rPr>
                <w:rFonts w:hint="default" w:ascii="Times New Roman" w:hAnsi="Times New Roman" w:eastAsia="CESI宋体-GB2312" w:cs="Times New Roman"/>
                <w:b w:val="0"/>
                <w:bCs w:val="0"/>
                <w:i w:val="0"/>
                <w:iCs w:val="0"/>
                <w:color w:val="000000"/>
                <w:kern w:val="0"/>
                <w:sz w:val="21"/>
                <w:szCs w:val="21"/>
                <w:u w:val="none"/>
                <w:lang w:val="en-US" w:eastAsia="zh-CN" w:bidi="ar"/>
              </w:rPr>
              <w:t>广东经济社会形势分析与预测（2024）</w:t>
            </w:r>
            <w:r>
              <w:rPr>
                <w:rFonts w:hint="eastAsia" w:ascii="Times New Roman" w:hAnsi="Times New Roman" w:eastAsia="CESI宋体-GB2312" w:cs="Times New Roman"/>
                <w:b w:val="0"/>
                <w:bCs w:val="0"/>
                <w:i w:val="0"/>
                <w:iCs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szCs w:val="21"/>
              </w:rPr>
            </w:pPr>
            <w:r>
              <w:rPr>
                <w:rFonts w:hint="default"/>
                <w:szCs w:val="21"/>
              </w:rPr>
              <w:t>5</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eastAsia="CESI宋体-GB2312" w:cs="Times New Roman"/>
                <w:b w:val="0"/>
                <w:bCs w:val="0"/>
                <w:i w:val="0"/>
                <w:iCs w:val="0"/>
                <w:color w:val="000000"/>
                <w:kern w:val="0"/>
                <w:sz w:val="21"/>
                <w:szCs w:val="21"/>
                <w:u w:val="none"/>
                <w:lang w:val="en-US" w:eastAsia="zh-CN" w:bidi="ar"/>
              </w:rPr>
              <w:t>粤港澳大湾区特色合作发展平台建设报告</w:t>
            </w:r>
          </w:p>
        </w:tc>
        <w:tc>
          <w:tcPr>
            <w:tcW w:w="3236" w:type="dxa"/>
            <w:vMerge w:val="restart"/>
            <w:tcBorders>
              <w:top w:val="single" w:color="auto" w:sz="4" w:space="0"/>
              <w:left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CESI宋体-GB2312" w:cs="Times New Roman"/>
                <w:b w:val="0"/>
                <w:bCs w:val="0"/>
                <w:i w:val="0"/>
                <w:iCs w:val="0"/>
                <w:color w:val="000000"/>
                <w:kern w:val="0"/>
                <w:sz w:val="21"/>
                <w:szCs w:val="21"/>
                <w:u w:val="none"/>
                <w:lang w:val="en-US" w:eastAsia="zh-CN" w:bidi="ar"/>
              </w:rPr>
            </w:pPr>
            <w:r>
              <w:rPr>
                <w:rFonts w:hint="default" w:ascii="Times New Roman" w:hAnsi="Times New Roman" w:eastAsia="CESI宋体-GB2312" w:cs="Times New Roman"/>
                <w:b w:val="0"/>
                <w:bCs w:val="0"/>
                <w:i w:val="0"/>
                <w:iCs w:val="0"/>
                <w:color w:val="000000"/>
                <w:kern w:val="0"/>
                <w:sz w:val="21"/>
                <w:szCs w:val="21"/>
                <w:u w:val="none"/>
                <w:lang w:val="en-US" w:eastAsia="zh-CN" w:bidi="ar"/>
              </w:rPr>
              <w:t>粤港澳大湾区蓝皮书</w:t>
            </w:r>
            <w:r>
              <w:rPr>
                <w:rFonts w:hint="eastAsia" w:eastAsia="CESI宋体-GB2312" w:cs="Times New Roman"/>
                <w:b w:val="0"/>
                <w:bCs w:val="0"/>
                <w:i w:val="0"/>
                <w:iCs w:val="0"/>
                <w:color w:val="000000"/>
                <w:kern w:val="0"/>
                <w:sz w:val="21"/>
                <w:szCs w:val="21"/>
                <w:u w:val="none"/>
                <w:lang w:val="en-US" w:eastAsia="zh-CN" w:bidi="ar"/>
              </w:rPr>
              <w:t>《</w:t>
            </w:r>
            <w:r>
              <w:rPr>
                <w:rFonts w:hint="default" w:ascii="Times New Roman" w:hAnsi="Times New Roman" w:eastAsia="CESI宋体-GB2312" w:cs="Times New Roman"/>
                <w:b w:val="0"/>
                <w:bCs w:val="0"/>
                <w:i w:val="0"/>
                <w:iCs w:val="0"/>
                <w:color w:val="000000"/>
                <w:kern w:val="0"/>
                <w:sz w:val="21"/>
                <w:szCs w:val="21"/>
                <w:u w:val="none"/>
                <w:lang w:val="en-US" w:eastAsia="zh-CN" w:bidi="ar"/>
              </w:rPr>
              <w:t>粤港澳</w:t>
            </w:r>
          </w:p>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eastAsia="CESI宋体-GB2312" w:cs="Times New Roman"/>
                <w:b w:val="0"/>
                <w:bCs w:val="0"/>
                <w:i w:val="0"/>
                <w:iCs w:val="0"/>
                <w:color w:val="000000"/>
                <w:kern w:val="0"/>
                <w:sz w:val="21"/>
                <w:szCs w:val="21"/>
                <w:u w:val="none"/>
                <w:lang w:val="en-US" w:eastAsia="zh-CN" w:bidi="ar"/>
              </w:rPr>
              <w:t>大湾区建设报告（2023）</w:t>
            </w:r>
            <w:r>
              <w:rPr>
                <w:rFonts w:hint="eastAsia" w:eastAsia="CESI宋体-GB2312" w:cs="Times New Roman"/>
                <w:b w:val="0"/>
                <w:bCs w:val="0"/>
                <w:i w:val="0"/>
                <w:iCs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rFonts w:hint="default"/>
                <w:szCs w:val="21"/>
              </w:rPr>
            </w:pPr>
            <w:r>
              <w:rPr>
                <w:rFonts w:hint="default"/>
                <w:szCs w:val="21"/>
              </w:rPr>
              <w:t>6</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CESI宋体-GB2312" w:cs="Times New Roman"/>
                <w:b w:val="0"/>
                <w:bCs w:val="0"/>
                <w:i w:val="0"/>
                <w:iCs w:val="0"/>
                <w:color w:val="000000"/>
                <w:kern w:val="0"/>
                <w:sz w:val="21"/>
                <w:szCs w:val="21"/>
                <w:u w:val="none"/>
                <w:lang w:val="en-US" w:eastAsia="zh-CN" w:bidi="ar"/>
              </w:rPr>
            </w:pPr>
            <w:r>
              <w:rPr>
                <w:rFonts w:hint="default" w:ascii="Times New Roman" w:hAnsi="Times New Roman" w:eastAsia="CESI宋体-GB2312" w:cs="Times New Roman"/>
                <w:b w:val="0"/>
                <w:bCs w:val="0"/>
                <w:i w:val="0"/>
                <w:iCs w:val="0"/>
                <w:color w:val="000000"/>
                <w:kern w:val="0"/>
                <w:sz w:val="21"/>
                <w:szCs w:val="21"/>
                <w:u w:val="none"/>
                <w:lang w:val="en-US" w:eastAsia="zh-CN" w:bidi="ar"/>
              </w:rPr>
              <w:t>粤港澳大湾区科技创新建设报告</w:t>
            </w:r>
          </w:p>
        </w:tc>
        <w:tc>
          <w:tcPr>
            <w:tcW w:w="3236" w:type="dxa"/>
            <w:vMerge w:val="continue"/>
            <w:tcBorders>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CESI宋体-GB2312" w:cs="Times New Roman"/>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szCs w:val="21"/>
              </w:rPr>
            </w:pPr>
            <w:r>
              <w:rPr>
                <w:rFonts w:hint="default"/>
                <w:szCs w:val="21"/>
              </w:rPr>
              <w:t>7</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CESI宋体-GB2312" w:cs="Times New Roman"/>
                <w:b w:val="0"/>
                <w:bCs w:val="0"/>
                <w:i w:val="0"/>
                <w:iCs w:val="0"/>
                <w:color w:val="000000"/>
                <w:kern w:val="0"/>
                <w:sz w:val="21"/>
                <w:szCs w:val="21"/>
                <w:u w:val="none"/>
                <w:lang w:val="en-US" w:eastAsia="zh-CN" w:bidi="ar"/>
              </w:rPr>
              <w:t>迈向新征程的广东区域经济协调发展</w:t>
            </w:r>
          </w:p>
        </w:tc>
        <w:tc>
          <w:tcPr>
            <w:tcW w:w="3236" w:type="dxa"/>
            <w:vMerge w:val="restart"/>
            <w:tcBorders>
              <w:top w:val="single" w:color="auto" w:sz="4" w:space="0"/>
              <w:left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CESI宋体-GB2312" w:cs="Times New Roman"/>
                <w:b w:val="0"/>
                <w:bCs w:val="0"/>
                <w:i w:val="0"/>
                <w:iCs w:val="0"/>
                <w:color w:val="000000"/>
                <w:kern w:val="0"/>
                <w:sz w:val="21"/>
                <w:szCs w:val="21"/>
                <w:u w:val="none"/>
                <w:lang w:val="en-US" w:eastAsia="zh-CN" w:bidi="ar"/>
              </w:rPr>
              <w:t>区域蓝皮书</w:t>
            </w:r>
            <w:r>
              <w:rPr>
                <w:rFonts w:hint="eastAsia" w:eastAsia="CESI宋体-GB2312" w:cs="Times New Roman"/>
                <w:b w:val="0"/>
                <w:bCs w:val="0"/>
                <w:i w:val="0"/>
                <w:iCs w:val="0"/>
                <w:color w:val="000000"/>
                <w:kern w:val="0"/>
                <w:sz w:val="21"/>
                <w:szCs w:val="21"/>
                <w:u w:val="none"/>
                <w:lang w:val="en-US" w:eastAsia="zh-CN" w:bidi="ar"/>
              </w:rPr>
              <w:t>《</w:t>
            </w:r>
            <w:r>
              <w:rPr>
                <w:rFonts w:hint="default" w:ascii="Times New Roman" w:hAnsi="Times New Roman" w:eastAsia="CESI宋体-GB2312" w:cs="Times New Roman"/>
                <w:b w:val="0"/>
                <w:bCs w:val="0"/>
                <w:i w:val="0"/>
                <w:iCs w:val="0"/>
                <w:color w:val="000000"/>
                <w:kern w:val="0"/>
                <w:sz w:val="21"/>
                <w:szCs w:val="21"/>
                <w:u w:val="none"/>
                <w:lang w:val="en-US" w:eastAsia="zh-CN" w:bidi="ar"/>
              </w:rPr>
              <w:t>中国区域经济发展报告（202</w:t>
            </w:r>
            <w:r>
              <w:rPr>
                <w:rFonts w:hint="eastAsia" w:eastAsia="CESI宋体-GB2312" w:cs="Times New Roman"/>
                <w:b w:val="0"/>
                <w:bCs w:val="0"/>
                <w:i w:val="0"/>
                <w:iCs w:val="0"/>
                <w:color w:val="000000"/>
                <w:kern w:val="0"/>
                <w:sz w:val="21"/>
                <w:szCs w:val="21"/>
                <w:u w:val="none"/>
                <w:lang w:val="en-US" w:eastAsia="zh-CN" w:bidi="ar"/>
              </w:rPr>
              <w:t>2</w:t>
            </w:r>
            <w:r>
              <w:rPr>
                <w:rFonts w:hint="default" w:ascii="Times New Roman" w:hAnsi="Times New Roman" w:eastAsia="CESI宋体-GB2312" w:cs="Times New Roman"/>
                <w:b w:val="0"/>
                <w:bCs w:val="0"/>
                <w:i w:val="0"/>
                <w:iCs w:val="0"/>
                <w:color w:val="000000"/>
                <w:kern w:val="0"/>
                <w:sz w:val="21"/>
                <w:szCs w:val="21"/>
                <w:u w:val="none"/>
                <w:lang w:val="en-US" w:eastAsia="zh-CN" w:bidi="ar"/>
              </w:rPr>
              <w:t>-202</w:t>
            </w:r>
            <w:r>
              <w:rPr>
                <w:rFonts w:hint="eastAsia" w:eastAsia="CESI宋体-GB2312" w:cs="Times New Roman"/>
                <w:b w:val="0"/>
                <w:bCs w:val="0"/>
                <w:i w:val="0"/>
                <w:iCs w:val="0"/>
                <w:color w:val="000000"/>
                <w:kern w:val="0"/>
                <w:sz w:val="21"/>
                <w:szCs w:val="21"/>
                <w:u w:val="none"/>
                <w:lang w:val="en-US" w:eastAsia="zh-CN" w:bidi="ar"/>
              </w:rPr>
              <w:t>3</w:t>
            </w:r>
            <w:r>
              <w:rPr>
                <w:rFonts w:hint="default" w:ascii="Times New Roman" w:hAnsi="Times New Roman" w:eastAsia="CESI宋体-GB2312" w:cs="Times New Roman"/>
                <w:b w:val="0"/>
                <w:bCs w:val="0"/>
                <w:i w:val="0"/>
                <w:iCs w:val="0"/>
                <w:color w:val="000000"/>
                <w:kern w:val="0"/>
                <w:sz w:val="21"/>
                <w:szCs w:val="21"/>
                <w:u w:val="none"/>
                <w:lang w:val="en-US" w:eastAsia="zh-CN" w:bidi="ar"/>
              </w:rPr>
              <w:t>）</w:t>
            </w:r>
            <w:r>
              <w:rPr>
                <w:rFonts w:hint="eastAsia" w:eastAsia="CESI宋体-GB2312" w:cs="Times New Roman"/>
                <w:b w:val="0"/>
                <w:bCs w:val="0"/>
                <w:i w:val="0"/>
                <w:iCs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szCs w:val="21"/>
              </w:rPr>
            </w:pPr>
            <w:r>
              <w:rPr>
                <w:rFonts w:hint="default"/>
                <w:szCs w:val="21"/>
              </w:rPr>
              <w:t>8</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CESI宋体-GB2312" w:cs="Times New Roman"/>
                <w:b w:val="0"/>
                <w:bCs w:val="0"/>
                <w:i w:val="0"/>
                <w:iCs w:val="0"/>
                <w:color w:val="000000"/>
                <w:kern w:val="0"/>
                <w:sz w:val="21"/>
                <w:szCs w:val="21"/>
                <w:u w:val="none"/>
                <w:lang w:val="en-US" w:eastAsia="zh-CN" w:bidi="ar"/>
              </w:rPr>
              <w:t>粤港澳大湾区文化圈发展格局特征及优化路径研究</w:t>
            </w:r>
          </w:p>
        </w:tc>
        <w:tc>
          <w:tcPr>
            <w:tcW w:w="3236" w:type="dxa"/>
            <w:vMerge w:val="continue"/>
            <w:tcBorders>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rFonts w:hint="default"/>
                <w:szCs w:val="21"/>
              </w:rPr>
            </w:pPr>
            <w:r>
              <w:rPr>
                <w:rFonts w:hint="default"/>
                <w:szCs w:val="21"/>
              </w:rPr>
              <w:t>9</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CESI宋体-GB2312" w:cs="Times New Roman"/>
                <w:b w:val="0"/>
                <w:bCs w:val="0"/>
                <w:i w:val="0"/>
                <w:iCs w:val="0"/>
                <w:color w:val="000000"/>
                <w:kern w:val="0"/>
                <w:sz w:val="21"/>
                <w:szCs w:val="21"/>
                <w:u w:val="none"/>
                <w:lang w:val="en-US" w:eastAsia="zh-CN" w:bidi="ar"/>
              </w:rPr>
            </w:pPr>
            <w:r>
              <w:rPr>
                <w:rFonts w:hint="default" w:ascii="Times New Roman" w:hAnsi="Times New Roman" w:eastAsia="CESI宋体-GB2312" w:cs="Times New Roman"/>
                <w:b w:val="0"/>
                <w:bCs w:val="0"/>
                <w:i w:val="0"/>
                <w:iCs w:val="0"/>
                <w:color w:val="000000"/>
                <w:kern w:val="0"/>
                <w:sz w:val="21"/>
                <w:szCs w:val="21"/>
                <w:u w:val="none"/>
                <w:lang w:val="en-US" w:eastAsia="zh-CN" w:bidi="ar"/>
              </w:rPr>
              <w:t>创新3.0视域下的粤港澳文创产业协同发展研究</w:t>
            </w:r>
          </w:p>
        </w:tc>
        <w:tc>
          <w:tcPr>
            <w:tcW w:w="32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CESI宋体-GB2312" w:cs="Times New Roman"/>
                <w:b w:val="0"/>
                <w:bCs w:val="0"/>
                <w:i w:val="0"/>
                <w:iCs w:val="0"/>
                <w:color w:val="000000"/>
                <w:kern w:val="0"/>
                <w:sz w:val="21"/>
                <w:szCs w:val="21"/>
                <w:u w:val="none"/>
                <w:lang w:val="en-US" w:eastAsia="zh-CN" w:bidi="ar"/>
              </w:rPr>
            </w:pPr>
            <w:r>
              <w:rPr>
                <w:rFonts w:hint="default" w:ascii="Times New Roman" w:hAnsi="Times New Roman" w:eastAsia="CESI宋体-GB2312" w:cs="Times New Roman"/>
                <w:b w:val="0"/>
                <w:bCs w:val="0"/>
                <w:i w:val="0"/>
                <w:iCs w:val="0"/>
                <w:color w:val="000000"/>
                <w:kern w:val="0"/>
                <w:sz w:val="21"/>
                <w:szCs w:val="21"/>
                <w:u w:val="none"/>
                <w:lang w:val="en-US" w:eastAsia="zh-CN" w:bidi="ar"/>
              </w:rPr>
              <w:t>区域蓝皮书</w:t>
            </w:r>
            <w:r>
              <w:rPr>
                <w:rFonts w:hint="eastAsia" w:ascii="Times New Roman" w:hAnsi="Times New Roman" w:eastAsia="CESI宋体-GB2312" w:cs="Times New Roman"/>
                <w:b w:val="0"/>
                <w:bCs w:val="0"/>
                <w:i w:val="0"/>
                <w:iCs w:val="0"/>
                <w:color w:val="000000"/>
                <w:kern w:val="0"/>
                <w:sz w:val="21"/>
                <w:szCs w:val="21"/>
                <w:u w:val="none"/>
                <w:lang w:val="en-US" w:eastAsia="zh-CN" w:bidi="ar"/>
              </w:rPr>
              <w:t>《</w:t>
            </w:r>
            <w:r>
              <w:rPr>
                <w:rFonts w:hint="default" w:ascii="Times New Roman" w:hAnsi="Times New Roman" w:eastAsia="CESI宋体-GB2312" w:cs="Times New Roman"/>
                <w:b w:val="0"/>
                <w:bCs w:val="0"/>
                <w:i w:val="0"/>
                <w:iCs w:val="0"/>
                <w:color w:val="000000"/>
                <w:kern w:val="0"/>
                <w:sz w:val="21"/>
                <w:szCs w:val="21"/>
                <w:u w:val="none"/>
                <w:lang w:val="en-US" w:eastAsia="zh-CN" w:bidi="ar"/>
              </w:rPr>
              <w:t>中国区域经济发展报告（2023-2024）</w:t>
            </w:r>
            <w:r>
              <w:rPr>
                <w:rFonts w:hint="eastAsia" w:ascii="Times New Roman" w:hAnsi="Times New Roman" w:eastAsia="CESI宋体-GB2312" w:cs="Times New Roman"/>
                <w:b w:val="0"/>
                <w:bCs w:val="0"/>
                <w:i w:val="0"/>
                <w:iCs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szCs w:val="21"/>
              </w:rPr>
            </w:pPr>
            <w:r>
              <w:rPr>
                <w:rFonts w:hint="eastAsia"/>
                <w:szCs w:val="21"/>
                <w:lang w:val="en-US" w:eastAsia="zh-CN"/>
              </w:rPr>
              <w:t>10</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CESI宋体-GB2312" w:cs="Times New Roman"/>
                <w:b w:val="0"/>
                <w:bCs w:val="0"/>
                <w:i w:val="0"/>
                <w:iCs w:val="0"/>
                <w:color w:val="000000"/>
                <w:kern w:val="0"/>
                <w:sz w:val="21"/>
                <w:szCs w:val="21"/>
                <w:u w:val="none"/>
                <w:lang w:val="en-US" w:eastAsia="zh-CN" w:bidi="ar"/>
              </w:rPr>
              <w:t>粤港澳大湾区数字交易的实践探索</w:t>
            </w:r>
          </w:p>
        </w:tc>
        <w:tc>
          <w:tcPr>
            <w:tcW w:w="32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CESI宋体-GB2312" w:cs="Times New Roman"/>
                <w:b w:val="0"/>
                <w:bCs w:val="0"/>
                <w:i w:val="0"/>
                <w:iCs w:val="0"/>
                <w:color w:val="000000"/>
                <w:kern w:val="0"/>
                <w:sz w:val="21"/>
                <w:szCs w:val="21"/>
                <w:u w:val="none"/>
                <w:lang w:val="en-US" w:eastAsia="zh-CN" w:bidi="ar"/>
              </w:rPr>
            </w:pPr>
            <w:r>
              <w:rPr>
                <w:rFonts w:hint="eastAsia" w:eastAsia="CESI宋体-GB2312" w:cs="Times New Roman"/>
                <w:b w:val="0"/>
                <w:bCs w:val="0"/>
                <w:i w:val="0"/>
                <w:iCs w:val="0"/>
                <w:color w:val="000000"/>
                <w:kern w:val="0"/>
                <w:sz w:val="21"/>
                <w:szCs w:val="21"/>
                <w:u w:val="none"/>
                <w:lang w:val="en-US" w:eastAsia="zh-CN" w:bidi="ar"/>
              </w:rPr>
              <w:t>《</w:t>
            </w:r>
            <w:r>
              <w:rPr>
                <w:rFonts w:hint="default" w:ascii="Times New Roman" w:hAnsi="Times New Roman" w:eastAsia="CESI宋体-GB2312" w:cs="Times New Roman"/>
                <w:b w:val="0"/>
                <w:bCs w:val="0"/>
                <w:i w:val="0"/>
                <w:iCs w:val="0"/>
                <w:color w:val="000000"/>
                <w:kern w:val="0"/>
                <w:sz w:val="21"/>
                <w:szCs w:val="21"/>
                <w:u w:val="none"/>
                <w:lang w:val="en-US" w:eastAsia="zh-CN" w:bidi="ar"/>
              </w:rPr>
              <w:t>粤港澳大湾区产业运营若干</w:t>
            </w:r>
          </w:p>
          <w:p>
            <w:pPr>
              <w:widowControl/>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CESI宋体-GB2312" w:cs="Times New Roman"/>
                <w:b w:val="0"/>
                <w:bCs w:val="0"/>
                <w:i w:val="0"/>
                <w:iCs w:val="0"/>
                <w:color w:val="000000"/>
                <w:kern w:val="0"/>
                <w:sz w:val="21"/>
                <w:szCs w:val="21"/>
                <w:u w:val="none"/>
                <w:lang w:val="en-US" w:eastAsia="zh-CN" w:bidi="ar"/>
              </w:rPr>
              <w:t>研究</w:t>
            </w:r>
            <w:r>
              <w:rPr>
                <w:rFonts w:hint="eastAsia" w:eastAsia="CESI宋体-GB2312" w:cs="Times New Roman"/>
                <w:b w:val="0"/>
                <w:bCs w:val="0"/>
                <w:i w:val="0"/>
                <w:iCs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rFonts w:hint="default" w:eastAsia="宋体"/>
                <w:szCs w:val="21"/>
                <w:lang w:val="en-US" w:eastAsia="zh-CN"/>
              </w:rPr>
            </w:pPr>
            <w:r>
              <w:rPr>
                <w:rFonts w:hint="eastAsia"/>
                <w:szCs w:val="21"/>
                <w:lang w:val="en-US" w:eastAsia="zh-CN"/>
              </w:rPr>
              <w:t>11</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CESI宋体-GB2312" w:cs="Times New Roman"/>
                <w:b w:val="0"/>
                <w:bCs w:val="0"/>
                <w:i w:val="0"/>
                <w:iCs w:val="0"/>
                <w:color w:val="000000"/>
                <w:kern w:val="0"/>
                <w:sz w:val="21"/>
                <w:szCs w:val="21"/>
                <w:u w:val="none"/>
                <w:lang w:val="en-US" w:eastAsia="zh-CN" w:bidi="ar"/>
              </w:rPr>
            </w:pPr>
            <w:r>
              <w:rPr>
                <w:rFonts w:hint="default" w:ascii="Times New Roman" w:hAnsi="Times New Roman" w:eastAsia="CESI宋体-GB2312" w:cs="Times New Roman"/>
                <w:b w:val="0"/>
                <w:bCs w:val="0"/>
                <w:i w:val="0"/>
                <w:iCs w:val="0"/>
                <w:color w:val="000000"/>
                <w:kern w:val="0"/>
                <w:sz w:val="21"/>
                <w:szCs w:val="21"/>
                <w:u w:val="none"/>
                <w:lang w:val="en-US" w:eastAsia="zh-CN" w:bidi="ar"/>
              </w:rPr>
              <w:t>广东省</w:t>
            </w:r>
            <w:r>
              <w:rPr>
                <w:rFonts w:hint="eastAsia" w:ascii="Times New Roman" w:hAnsi="Times New Roman" w:eastAsia="CESI宋体-GB2312" w:cs="Times New Roman"/>
                <w:b w:val="0"/>
                <w:bCs w:val="0"/>
                <w:i w:val="0"/>
                <w:iCs w:val="0"/>
                <w:color w:val="000000"/>
                <w:kern w:val="0"/>
                <w:sz w:val="21"/>
                <w:szCs w:val="21"/>
                <w:u w:val="none"/>
                <w:lang w:val="en-US" w:eastAsia="zh-CN" w:bidi="ar"/>
              </w:rPr>
              <w:t>“</w:t>
            </w:r>
            <w:r>
              <w:rPr>
                <w:rFonts w:hint="default" w:ascii="Times New Roman" w:hAnsi="Times New Roman" w:eastAsia="CESI宋体-GB2312" w:cs="Times New Roman"/>
                <w:b w:val="0"/>
                <w:bCs w:val="0"/>
                <w:i w:val="0"/>
                <w:iCs w:val="0"/>
                <w:color w:val="000000"/>
                <w:kern w:val="0"/>
                <w:sz w:val="21"/>
                <w:szCs w:val="21"/>
                <w:u w:val="none"/>
                <w:lang w:val="en-US" w:eastAsia="zh-CN" w:bidi="ar"/>
              </w:rPr>
              <w:t>十四五</w:t>
            </w:r>
            <w:r>
              <w:rPr>
                <w:rFonts w:hint="eastAsia" w:ascii="Times New Roman" w:hAnsi="Times New Roman" w:eastAsia="CESI宋体-GB2312" w:cs="Times New Roman"/>
                <w:b w:val="0"/>
                <w:bCs w:val="0"/>
                <w:i w:val="0"/>
                <w:iCs w:val="0"/>
                <w:color w:val="000000"/>
                <w:kern w:val="0"/>
                <w:sz w:val="21"/>
                <w:szCs w:val="21"/>
                <w:u w:val="none"/>
                <w:lang w:val="en-US" w:eastAsia="zh-CN" w:bidi="ar"/>
              </w:rPr>
              <w:t>”</w:t>
            </w:r>
            <w:r>
              <w:rPr>
                <w:rFonts w:hint="default" w:ascii="Times New Roman" w:hAnsi="Times New Roman" w:eastAsia="CESI宋体-GB2312" w:cs="Times New Roman"/>
                <w:b w:val="0"/>
                <w:bCs w:val="0"/>
                <w:i w:val="0"/>
                <w:iCs w:val="0"/>
                <w:color w:val="000000"/>
                <w:kern w:val="0"/>
                <w:sz w:val="21"/>
                <w:szCs w:val="21"/>
                <w:u w:val="none"/>
                <w:lang w:val="en-US" w:eastAsia="zh-CN" w:bidi="ar"/>
              </w:rPr>
              <w:t>规划纲要第三方中期评估</w:t>
            </w:r>
          </w:p>
        </w:tc>
        <w:tc>
          <w:tcPr>
            <w:tcW w:w="32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eastAsia" w:eastAsia="CESI宋体-GB2312" w:cs="Times New Roman"/>
                <w:b w:val="0"/>
                <w:bCs w:val="0"/>
                <w:i w:val="0"/>
                <w:iCs w:val="0"/>
                <w:color w:val="000000"/>
                <w:kern w:val="0"/>
                <w:sz w:val="21"/>
                <w:szCs w:val="21"/>
                <w:u w:val="none"/>
                <w:lang w:val="en-US" w:eastAsia="zh-CN" w:bidi="ar"/>
              </w:rPr>
            </w:pPr>
            <w:r>
              <w:rPr>
                <w:rFonts w:hint="default" w:ascii="Times New Roman" w:hAnsi="Times New Roman" w:eastAsia="CESI宋体-GB2312" w:cs="Times New Roman"/>
                <w:b w:val="0"/>
                <w:bCs w:val="0"/>
                <w:i w:val="0"/>
                <w:iCs w:val="0"/>
                <w:color w:val="000000"/>
                <w:kern w:val="0"/>
                <w:sz w:val="21"/>
                <w:szCs w:val="21"/>
                <w:u w:val="none"/>
                <w:lang w:val="en-US" w:eastAsia="zh-CN" w:bidi="ar"/>
              </w:rPr>
              <w:t>广东省发展与改革委员会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rFonts w:hint="default" w:eastAsia="宋体"/>
                <w:szCs w:val="21"/>
                <w:lang w:val="en-US" w:eastAsia="zh-CN"/>
              </w:rPr>
            </w:pPr>
            <w:r>
              <w:rPr>
                <w:rFonts w:hint="eastAsia"/>
                <w:szCs w:val="21"/>
                <w:lang w:val="en-US" w:eastAsia="zh-CN"/>
              </w:rPr>
              <w:t>12</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CESI宋体-GB2312" w:cs="Times New Roman"/>
                <w:b w:val="0"/>
                <w:bCs w:val="0"/>
                <w:i w:val="0"/>
                <w:iCs w:val="0"/>
                <w:color w:val="000000"/>
                <w:kern w:val="0"/>
                <w:sz w:val="21"/>
                <w:szCs w:val="21"/>
                <w:u w:val="none"/>
                <w:lang w:val="en-US" w:eastAsia="zh-CN" w:bidi="ar"/>
              </w:rPr>
            </w:pPr>
            <w:r>
              <w:rPr>
                <w:rFonts w:hint="default" w:ascii="Times New Roman" w:hAnsi="Times New Roman" w:eastAsia="CESI宋体-GB2312" w:cs="Times New Roman"/>
                <w:b w:val="0"/>
                <w:bCs w:val="0"/>
                <w:i w:val="0"/>
                <w:iCs w:val="0"/>
                <w:color w:val="000000"/>
                <w:kern w:val="0"/>
                <w:sz w:val="21"/>
                <w:szCs w:val="21"/>
                <w:u w:val="none"/>
                <w:lang w:val="en-US" w:eastAsia="zh-CN" w:bidi="ar"/>
              </w:rPr>
              <w:t>广东省青年婚恋与生育研究</w:t>
            </w:r>
          </w:p>
        </w:tc>
        <w:tc>
          <w:tcPr>
            <w:tcW w:w="32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eastAsia" w:eastAsia="CESI宋体-GB2312" w:cs="Times New Roman"/>
                <w:b w:val="0"/>
                <w:bCs w:val="0"/>
                <w:i w:val="0"/>
                <w:iCs w:val="0"/>
                <w:color w:val="000000"/>
                <w:kern w:val="0"/>
                <w:sz w:val="21"/>
                <w:szCs w:val="21"/>
                <w:u w:val="none"/>
                <w:lang w:val="en-US" w:eastAsia="zh-CN" w:bidi="ar"/>
              </w:rPr>
            </w:pPr>
            <w:r>
              <w:rPr>
                <w:rFonts w:hint="default" w:ascii="Times New Roman" w:hAnsi="Times New Roman" w:eastAsia="CESI宋体-GB2312" w:cs="Times New Roman"/>
                <w:b w:val="0"/>
                <w:bCs w:val="0"/>
                <w:i w:val="0"/>
                <w:iCs w:val="0"/>
                <w:color w:val="000000"/>
                <w:kern w:val="0"/>
                <w:sz w:val="21"/>
                <w:szCs w:val="21"/>
                <w:u w:val="none"/>
                <w:lang w:val="en-US" w:eastAsia="zh-CN" w:bidi="ar"/>
              </w:rPr>
              <w:t>共青团广东省委员会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rFonts w:hint="default" w:eastAsia="宋体"/>
                <w:szCs w:val="21"/>
                <w:lang w:val="en-US" w:eastAsia="zh-CN"/>
              </w:rPr>
            </w:pPr>
            <w:r>
              <w:rPr>
                <w:rFonts w:hint="eastAsia"/>
                <w:szCs w:val="21"/>
                <w:lang w:val="en-US" w:eastAsia="zh-CN"/>
              </w:rPr>
              <w:t>13</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CESI宋体-GB2312" w:cs="Times New Roman"/>
                <w:b w:val="0"/>
                <w:bCs w:val="0"/>
                <w:i w:val="0"/>
                <w:iCs w:val="0"/>
                <w:color w:val="000000"/>
                <w:kern w:val="0"/>
                <w:sz w:val="21"/>
                <w:szCs w:val="21"/>
                <w:u w:val="none"/>
                <w:lang w:val="en-US" w:eastAsia="zh-CN" w:bidi="ar"/>
              </w:rPr>
              <w:t>乡村振兴背景下的广东乡村消费研究</w:t>
            </w:r>
          </w:p>
        </w:tc>
        <w:tc>
          <w:tcPr>
            <w:tcW w:w="32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CESI宋体-GB2312" w:cs="Times New Roman"/>
                <w:b w:val="0"/>
                <w:bCs w:val="0"/>
                <w:i w:val="0"/>
                <w:iCs w:val="0"/>
                <w:color w:val="000000"/>
                <w:kern w:val="0"/>
                <w:sz w:val="21"/>
                <w:szCs w:val="21"/>
                <w:u w:val="none"/>
                <w:lang w:val="en-US" w:eastAsia="zh-CN" w:bidi="ar"/>
              </w:rPr>
              <w:t>广东消费经济学会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rFonts w:hint="default" w:eastAsia="宋体"/>
                <w:szCs w:val="21"/>
                <w:lang w:val="en-US" w:eastAsia="zh-CN"/>
              </w:rPr>
            </w:pPr>
            <w:r>
              <w:rPr>
                <w:rFonts w:hint="eastAsia"/>
                <w:szCs w:val="21"/>
                <w:lang w:val="en-US" w:eastAsia="zh-CN"/>
              </w:rPr>
              <w:t>14</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CESI宋体-GB2312" w:cs="Times New Roman"/>
                <w:b w:val="0"/>
                <w:bCs w:val="0"/>
                <w:i w:val="0"/>
                <w:iCs w:val="0"/>
                <w:color w:val="000000"/>
                <w:kern w:val="0"/>
                <w:sz w:val="21"/>
                <w:szCs w:val="21"/>
                <w:u w:val="none"/>
                <w:lang w:val="en-US" w:eastAsia="zh-CN" w:bidi="ar"/>
              </w:rPr>
              <w:t>广东省市场监管局</w:t>
            </w:r>
            <w:r>
              <w:rPr>
                <w:rFonts w:hint="eastAsia" w:ascii="Times New Roman" w:hAnsi="Times New Roman" w:eastAsia="CESI宋体-GB2312" w:cs="Times New Roman"/>
                <w:b w:val="0"/>
                <w:bCs w:val="0"/>
                <w:i w:val="0"/>
                <w:iCs w:val="0"/>
                <w:color w:val="000000"/>
                <w:kern w:val="0"/>
                <w:sz w:val="21"/>
                <w:szCs w:val="21"/>
                <w:u w:val="none"/>
                <w:lang w:val="en-US" w:eastAsia="zh-CN" w:bidi="ar"/>
              </w:rPr>
              <w:t>“</w:t>
            </w:r>
            <w:r>
              <w:rPr>
                <w:rFonts w:hint="default" w:ascii="Times New Roman" w:hAnsi="Times New Roman" w:eastAsia="CESI宋体-GB2312" w:cs="Times New Roman"/>
                <w:b w:val="0"/>
                <w:bCs w:val="0"/>
                <w:i w:val="0"/>
                <w:iCs w:val="0"/>
                <w:color w:val="000000"/>
                <w:kern w:val="0"/>
                <w:sz w:val="21"/>
                <w:szCs w:val="21"/>
                <w:u w:val="none"/>
                <w:lang w:val="en-US" w:eastAsia="zh-CN" w:bidi="ar"/>
              </w:rPr>
              <w:t>十四五</w:t>
            </w:r>
            <w:r>
              <w:rPr>
                <w:rFonts w:hint="eastAsia" w:ascii="Times New Roman" w:hAnsi="Times New Roman" w:eastAsia="CESI宋体-GB2312" w:cs="Times New Roman"/>
                <w:b w:val="0"/>
                <w:bCs w:val="0"/>
                <w:i w:val="0"/>
                <w:iCs w:val="0"/>
                <w:color w:val="000000"/>
                <w:kern w:val="0"/>
                <w:sz w:val="21"/>
                <w:szCs w:val="21"/>
                <w:u w:val="none"/>
                <w:lang w:val="en-US" w:eastAsia="zh-CN" w:bidi="ar"/>
              </w:rPr>
              <w:t>”</w:t>
            </w:r>
            <w:r>
              <w:rPr>
                <w:rFonts w:hint="default" w:ascii="Times New Roman" w:hAnsi="Times New Roman" w:eastAsia="CESI宋体-GB2312" w:cs="Times New Roman"/>
                <w:b w:val="0"/>
                <w:bCs w:val="0"/>
                <w:i w:val="0"/>
                <w:iCs w:val="0"/>
                <w:color w:val="000000"/>
                <w:kern w:val="0"/>
                <w:sz w:val="21"/>
                <w:szCs w:val="21"/>
                <w:u w:val="none"/>
                <w:lang w:val="en-US" w:eastAsia="zh-CN" w:bidi="ar"/>
              </w:rPr>
              <w:t>中期评估</w:t>
            </w:r>
          </w:p>
        </w:tc>
        <w:tc>
          <w:tcPr>
            <w:tcW w:w="32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CESI宋体-GB2312" w:cs="Times New Roman"/>
                <w:b w:val="0"/>
                <w:bCs w:val="0"/>
                <w:i w:val="0"/>
                <w:iCs w:val="0"/>
                <w:color w:val="000000"/>
                <w:kern w:val="0"/>
                <w:sz w:val="21"/>
                <w:szCs w:val="21"/>
                <w:u w:val="none"/>
                <w:lang w:val="en-US" w:eastAsia="zh-CN" w:bidi="ar"/>
              </w:rPr>
              <w:t>广东省市场监管局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rFonts w:hint="default" w:eastAsia="宋体"/>
                <w:szCs w:val="21"/>
                <w:lang w:val="en-US" w:eastAsia="zh-CN"/>
              </w:rPr>
            </w:pPr>
            <w:r>
              <w:rPr>
                <w:rFonts w:hint="eastAsia"/>
                <w:szCs w:val="21"/>
                <w:lang w:val="en-US" w:eastAsia="zh-CN"/>
              </w:rPr>
              <w:t>15</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CESI宋体-GB2312" w:cs="Times New Roman"/>
                <w:b w:val="0"/>
                <w:bCs w:val="0"/>
                <w:i w:val="0"/>
                <w:iCs w:val="0"/>
                <w:color w:val="000000"/>
                <w:kern w:val="0"/>
                <w:sz w:val="21"/>
                <w:szCs w:val="21"/>
                <w:u w:val="none"/>
                <w:lang w:val="en-US" w:eastAsia="zh-CN" w:bidi="ar"/>
              </w:rPr>
              <w:t>广东省滨海旅游统计研究</w:t>
            </w:r>
          </w:p>
        </w:tc>
        <w:tc>
          <w:tcPr>
            <w:tcW w:w="32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CESI宋体-GB2312" w:cs="Times New Roman"/>
                <w:b w:val="0"/>
                <w:bCs w:val="0"/>
                <w:i w:val="0"/>
                <w:iCs w:val="0"/>
                <w:color w:val="000000"/>
                <w:kern w:val="0"/>
                <w:sz w:val="21"/>
                <w:szCs w:val="21"/>
                <w:u w:val="none"/>
                <w:lang w:val="en-US" w:eastAsia="zh-CN" w:bidi="ar"/>
              </w:rPr>
              <w:t>广东省文化和旅游厅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rFonts w:hint="default" w:eastAsia="宋体"/>
                <w:szCs w:val="21"/>
                <w:lang w:val="en-US" w:eastAsia="zh-CN"/>
              </w:rPr>
            </w:pPr>
            <w:r>
              <w:rPr>
                <w:rFonts w:hint="eastAsia"/>
                <w:szCs w:val="21"/>
                <w:lang w:val="en-US" w:eastAsia="zh-CN"/>
              </w:rPr>
              <w:t>16</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CESI宋体-GB2312" w:cs="Times New Roman"/>
                <w:b w:val="0"/>
                <w:bCs w:val="0"/>
                <w:i w:val="0"/>
                <w:iCs w:val="0"/>
                <w:color w:val="000000"/>
                <w:kern w:val="0"/>
                <w:sz w:val="21"/>
                <w:szCs w:val="21"/>
                <w:u w:val="none"/>
                <w:lang w:val="en-US" w:eastAsia="zh-CN" w:bidi="ar"/>
              </w:rPr>
              <w:t>南江流域生态环境保护与高质量发展研究</w:t>
            </w:r>
          </w:p>
        </w:tc>
        <w:tc>
          <w:tcPr>
            <w:tcW w:w="3236" w:type="dxa"/>
            <w:vMerge w:val="restart"/>
            <w:tcBorders>
              <w:top w:val="single" w:color="auto" w:sz="4" w:space="0"/>
              <w:left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CESI宋体-GB2312" w:cs="Times New Roman"/>
                <w:b w:val="0"/>
                <w:bCs w:val="0"/>
                <w:i w:val="0"/>
                <w:iCs w:val="0"/>
                <w:color w:val="000000"/>
                <w:kern w:val="0"/>
                <w:sz w:val="21"/>
                <w:szCs w:val="21"/>
                <w:u w:val="none"/>
                <w:lang w:val="en-US" w:eastAsia="zh-CN" w:bidi="ar"/>
              </w:rPr>
              <w:t>云浮市人民政府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rFonts w:hint="default" w:eastAsia="宋体"/>
                <w:szCs w:val="21"/>
                <w:lang w:val="en-US" w:eastAsia="zh-CN"/>
              </w:rPr>
            </w:pPr>
            <w:r>
              <w:rPr>
                <w:rFonts w:hint="eastAsia"/>
                <w:szCs w:val="21"/>
                <w:lang w:val="en-US" w:eastAsia="zh-CN"/>
              </w:rPr>
              <w:t>17</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CESI宋体-GB2312" w:cs="Times New Roman"/>
                <w:b w:val="0"/>
                <w:bCs w:val="0"/>
                <w:i w:val="0"/>
                <w:iCs w:val="0"/>
                <w:color w:val="000000"/>
                <w:kern w:val="0"/>
                <w:sz w:val="21"/>
                <w:szCs w:val="21"/>
                <w:u w:val="none"/>
                <w:lang w:val="en-US" w:eastAsia="zh-CN" w:bidi="ar"/>
              </w:rPr>
            </w:pPr>
            <w:r>
              <w:rPr>
                <w:rFonts w:hint="default" w:ascii="Times New Roman" w:hAnsi="Times New Roman" w:eastAsia="CESI宋体-GB2312" w:cs="Times New Roman"/>
                <w:b w:val="0"/>
                <w:bCs w:val="0"/>
                <w:i w:val="0"/>
                <w:iCs w:val="0"/>
                <w:color w:val="000000"/>
                <w:kern w:val="0"/>
                <w:sz w:val="21"/>
                <w:szCs w:val="21"/>
                <w:u w:val="none"/>
                <w:lang w:val="en-US" w:eastAsia="zh-CN" w:bidi="ar"/>
              </w:rPr>
              <w:t>打造新时代文化高地 赋能高质量发展先行示范——新时代云浮特色文化传承发展与创新利用研究报告</w:t>
            </w:r>
          </w:p>
        </w:tc>
        <w:tc>
          <w:tcPr>
            <w:tcW w:w="3236" w:type="dxa"/>
            <w:vMerge w:val="continue"/>
            <w:tcBorders>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CESI宋体-GB2312" w:cs="Times New Roman"/>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rFonts w:hint="eastAsia" w:eastAsia="宋体"/>
                <w:szCs w:val="21"/>
                <w:lang w:eastAsia="zh-CN"/>
              </w:rPr>
            </w:pPr>
            <w:r>
              <w:rPr>
                <w:rFonts w:hint="default"/>
                <w:szCs w:val="21"/>
              </w:rPr>
              <w:t>1</w:t>
            </w:r>
            <w:r>
              <w:rPr>
                <w:rFonts w:hint="eastAsia"/>
                <w:szCs w:val="21"/>
                <w:lang w:val="en-US" w:eastAsia="zh-CN"/>
              </w:rPr>
              <w:t>8</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eastAsia="CESI宋体-GB2312" w:cs="Times New Roman"/>
                <w:b w:val="0"/>
                <w:bCs w:val="0"/>
                <w:i w:val="0"/>
                <w:iCs w:val="0"/>
                <w:color w:val="000000"/>
                <w:kern w:val="0"/>
                <w:sz w:val="21"/>
                <w:szCs w:val="21"/>
                <w:u w:val="none"/>
                <w:lang w:val="en-US" w:eastAsia="zh-CN" w:bidi="ar"/>
              </w:rPr>
              <w:t>广州市长者饭堂高质量发展研究项目</w:t>
            </w:r>
          </w:p>
        </w:tc>
        <w:tc>
          <w:tcPr>
            <w:tcW w:w="32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eastAsia="CESI宋体-GB2312" w:cs="Times New Roman"/>
                <w:b w:val="0"/>
                <w:bCs w:val="0"/>
                <w:i w:val="0"/>
                <w:iCs w:val="0"/>
                <w:color w:val="000000"/>
                <w:kern w:val="0"/>
                <w:sz w:val="21"/>
                <w:szCs w:val="21"/>
                <w:u w:val="none"/>
                <w:lang w:val="en-US" w:eastAsia="zh-CN" w:bidi="ar"/>
              </w:rPr>
              <w:t>广州市民政局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rFonts w:hint="default" w:eastAsia="宋体"/>
                <w:szCs w:val="21"/>
                <w:lang w:val="en-US" w:eastAsia="zh-CN"/>
              </w:rPr>
            </w:pPr>
            <w:r>
              <w:rPr>
                <w:rFonts w:hint="eastAsia"/>
                <w:szCs w:val="21"/>
                <w:lang w:val="en-US" w:eastAsia="zh-CN"/>
              </w:rPr>
              <w:t>19</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CESI宋体-GB2312" w:cs="Times New Roman"/>
                <w:b w:val="0"/>
                <w:bCs w:val="0"/>
                <w:i w:val="0"/>
                <w:iCs w:val="0"/>
                <w:color w:val="000000"/>
                <w:kern w:val="0"/>
                <w:sz w:val="21"/>
                <w:szCs w:val="21"/>
                <w:u w:val="none"/>
                <w:lang w:val="en-US" w:eastAsia="zh-CN" w:bidi="ar"/>
              </w:rPr>
            </w:pPr>
            <w:r>
              <w:rPr>
                <w:rFonts w:hint="default" w:ascii="Times New Roman" w:hAnsi="Times New Roman" w:eastAsia="CESI宋体-GB2312" w:cs="Times New Roman"/>
                <w:b w:val="0"/>
                <w:bCs w:val="0"/>
                <w:i w:val="0"/>
                <w:iCs w:val="0"/>
                <w:color w:val="000000"/>
                <w:kern w:val="0"/>
                <w:sz w:val="21"/>
                <w:szCs w:val="21"/>
                <w:u w:val="none"/>
                <w:lang w:val="en-US" w:eastAsia="zh-CN" w:bidi="ar"/>
              </w:rPr>
              <w:t>广州市妇女儿童发展规划（2021—2030年）编制</w:t>
            </w:r>
          </w:p>
        </w:tc>
        <w:tc>
          <w:tcPr>
            <w:tcW w:w="32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CESI宋体-GB2312" w:cs="Times New Roman"/>
                <w:b w:val="0"/>
                <w:bCs w:val="0"/>
                <w:i w:val="0"/>
                <w:iCs w:val="0"/>
                <w:color w:val="000000"/>
                <w:kern w:val="0"/>
                <w:sz w:val="21"/>
                <w:szCs w:val="21"/>
                <w:u w:val="none"/>
                <w:lang w:val="en-US" w:eastAsia="zh-CN" w:bidi="ar"/>
              </w:rPr>
            </w:pPr>
            <w:r>
              <w:rPr>
                <w:rFonts w:hint="default" w:ascii="Times New Roman" w:hAnsi="Times New Roman" w:eastAsia="CESI宋体-GB2312" w:cs="Times New Roman"/>
                <w:b w:val="0"/>
                <w:bCs w:val="0"/>
                <w:i w:val="0"/>
                <w:iCs w:val="0"/>
                <w:color w:val="000000"/>
                <w:kern w:val="0"/>
                <w:sz w:val="21"/>
                <w:szCs w:val="21"/>
                <w:u w:val="none"/>
                <w:lang w:val="en-US" w:eastAsia="zh-CN" w:bidi="ar"/>
              </w:rPr>
              <w:t>广州市妇女联合会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rFonts w:hint="default" w:eastAsia="宋体"/>
                <w:szCs w:val="21"/>
                <w:lang w:val="en-US" w:eastAsia="zh-CN"/>
              </w:rPr>
            </w:pPr>
            <w:r>
              <w:rPr>
                <w:rFonts w:hint="eastAsia"/>
                <w:szCs w:val="21"/>
                <w:lang w:val="en-US" w:eastAsia="zh-CN"/>
              </w:rPr>
              <w:t>20</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eastAsia" w:eastAsia="CESI宋体-GB2312" w:cs="Times New Roman"/>
                <w:b w:val="0"/>
                <w:bCs w:val="0"/>
                <w:i w:val="0"/>
                <w:iCs w:val="0"/>
                <w:color w:val="000000"/>
                <w:kern w:val="0"/>
                <w:sz w:val="21"/>
                <w:szCs w:val="21"/>
                <w:u w:val="none"/>
                <w:lang w:val="en-US" w:eastAsia="zh-CN" w:bidi="ar"/>
              </w:rPr>
            </w:pPr>
            <w:r>
              <w:rPr>
                <w:rFonts w:hint="default" w:ascii="Times New Roman" w:hAnsi="Times New Roman" w:eastAsia="CESI宋体-GB2312" w:cs="Times New Roman"/>
                <w:b w:val="0"/>
                <w:bCs w:val="0"/>
                <w:i w:val="0"/>
                <w:iCs w:val="0"/>
                <w:color w:val="000000"/>
                <w:kern w:val="0"/>
                <w:sz w:val="21"/>
                <w:szCs w:val="21"/>
                <w:u w:val="none"/>
                <w:lang w:val="en-US" w:eastAsia="zh-CN" w:bidi="ar"/>
              </w:rPr>
              <w:t>中山市构建</w:t>
            </w:r>
            <w:r>
              <w:rPr>
                <w:rFonts w:hint="eastAsia" w:eastAsia="CESI宋体-GB2312" w:cs="Times New Roman"/>
                <w:b w:val="0"/>
                <w:bCs w:val="0"/>
                <w:i w:val="0"/>
                <w:iCs w:val="0"/>
                <w:color w:val="000000"/>
                <w:kern w:val="0"/>
                <w:sz w:val="21"/>
                <w:szCs w:val="21"/>
                <w:u w:val="none"/>
                <w:lang w:val="en-US" w:eastAsia="zh-CN" w:bidi="ar"/>
              </w:rPr>
              <w:t>“</w:t>
            </w:r>
            <w:r>
              <w:rPr>
                <w:rFonts w:hint="default" w:ascii="Times New Roman" w:hAnsi="Times New Roman" w:eastAsia="CESI宋体-GB2312" w:cs="Times New Roman"/>
                <w:b w:val="0"/>
                <w:bCs w:val="0"/>
                <w:i w:val="0"/>
                <w:iCs w:val="0"/>
                <w:color w:val="000000"/>
                <w:kern w:val="0"/>
                <w:sz w:val="21"/>
                <w:szCs w:val="21"/>
                <w:u w:val="none"/>
                <w:lang w:val="en-US" w:eastAsia="zh-CN" w:bidi="ar"/>
              </w:rPr>
              <w:t>综治中心+专业力量+社会力量</w:t>
            </w:r>
            <w:r>
              <w:rPr>
                <w:rFonts w:hint="eastAsia" w:eastAsia="CESI宋体-GB2312" w:cs="Times New Roman"/>
                <w:b w:val="0"/>
                <w:bCs w:val="0"/>
                <w:i w:val="0"/>
                <w:iCs w:val="0"/>
                <w:color w:val="000000"/>
                <w:kern w:val="0"/>
                <w:sz w:val="21"/>
                <w:szCs w:val="21"/>
                <w:u w:val="none"/>
                <w:lang w:val="en-US" w:eastAsia="zh-CN" w:bidi="ar"/>
              </w:rPr>
              <w:t>”</w:t>
            </w:r>
          </w:p>
          <w:p>
            <w:pPr>
              <w:widowControl/>
              <w:spacing w:line="240" w:lineRule="auto"/>
              <w:ind w:firstLine="0" w:firstLineChars="0"/>
              <w:jc w:val="center"/>
              <w:textAlignment w:val="center"/>
              <w:rPr>
                <w:rFonts w:hint="default" w:ascii="Times New Roman" w:hAnsi="Times New Roman" w:eastAsia="CESI宋体-GB2312" w:cs="Times New Roman"/>
                <w:b w:val="0"/>
                <w:bCs w:val="0"/>
                <w:i w:val="0"/>
                <w:iCs w:val="0"/>
                <w:color w:val="000000"/>
                <w:kern w:val="0"/>
                <w:sz w:val="21"/>
                <w:szCs w:val="21"/>
                <w:u w:val="none"/>
                <w:lang w:val="en-US" w:eastAsia="zh-CN" w:bidi="ar"/>
              </w:rPr>
            </w:pPr>
            <w:r>
              <w:rPr>
                <w:rFonts w:hint="default" w:ascii="Times New Roman" w:hAnsi="Times New Roman" w:eastAsia="CESI宋体-GB2312" w:cs="Times New Roman"/>
                <w:b w:val="0"/>
                <w:bCs w:val="0"/>
                <w:i w:val="0"/>
                <w:iCs w:val="0"/>
                <w:color w:val="000000"/>
                <w:kern w:val="0"/>
                <w:sz w:val="21"/>
                <w:szCs w:val="21"/>
                <w:u w:val="none"/>
                <w:lang w:val="en-US" w:eastAsia="zh-CN" w:bidi="ar"/>
              </w:rPr>
              <w:t>矛盾纠纷排查调处新机制研究</w:t>
            </w:r>
          </w:p>
        </w:tc>
        <w:tc>
          <w:tcPr>
            <w:tcW w:w="32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CESI宋体-GB2312" w:cs="Times New Roman"/>
                <w:b w:val="0"/>
                <w:bCs w:val="0"/>
                <w:i w:val="0"/>
                <w:iCs w:val="0"/>
                <w:color w:val="000000"/>
                <w:kern w:val="0"/>
                <w:sz w:val="21"/>
                <w:szCs w:val="21"/>
                <w:u w:val="none"/>
                <w:lang w:val="en-US" w:eastAsia="zh-CN" w:bidi="ar"/>
              </w:rPr>
            </w:pPr>
            <w:r>
              <w:rPr>
                <w:rFonts w:hint="default" w:ascii="Times New Roman" w:hAnsi="Times New Roman" w:eastAsia="CESI宋体-GB2312" w:cs="Times New Roman"/>
                <w:b w:val="0"/>
                <w:bCs w:val="0"/>
                <w:i w:val="0"/>
                <w:iCs w:val="0"/>
                <w:color w:val="000000"/>
                <w:kern w:val="0"/>
                <w:sz w:val="21"/>
                <w:szCs w:val="21"/>
                <w:u w:val="none"/>
                <w:lang w:val="en-US" w:eastAsia="zh-CN" w:bidi="ar"/>
              </w:rPr>
              <w:t>中山市委政法委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rFonts w:hint="default" w:eastAsia="宋体"/>
                <w:szCs w:val="21"/>
                <w:lang w:val="en-US" w:eastAsia="zh-CN"/>
              </w:rPr>
            </w:pPr>
            <w:r>
              <w:rPr>
                <w:rFonts w:hint="eastAsia"/>
                <w:szCs w:val="21"/>
                <w:lang w:val="en-US" w:eastAsia="zh-CN"/>
              </w:rPr>
              <w:t>21</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CESI宋体-GB2312" w:cs="Times New Roman"/>
                <w:b w:val="0"/>
                <w:bCs w:val="0"/>
                <w:i w:val="0"/>
                <w:iCs w:val="0"/>
                <w:color w:val="000000"/>
                <w:kern w:val="0"/>
                <w:sz w:val="21"/>
                <w:szCs w:val="21"/>
                <w:u w:val="none"/>
                <w:lang w:val="en-US" w:eastAsia="zh-CN" w:bidi="ar"/>
              </w:rPr>
            </w:pPr>
            <w:r>
              <w:rPr>
                <w:rFonts w:hint="default" w:ascii="Times New Roman" w:hAnsi="Times New Roman" w:eastAsia="CESI宋体-GB2312" w:cs="Times New Roman"/>
                <w:b w:val="0"/>
                <w:bCs w:val="0"/>
                <w:i w:val="0"/>
                <w:iCs w:val="0"/>
                <w:color w:val="000000"/>
                <w:kern w:val="0"/>
                <w:sz w:val="21"/>
                <w:szCs w:val="21"/>
                <w:u w:val="none"/>
                <w:lang w:val="en-US" w:eastAsia="zh-CN" w:bidi="ar"/>
              </w:rPr>
              <w:t>东莞市户籍制度改革政策研究</w:t>
            </w:r>
          </w:p>
        </w:tc>
        <w:tc>
          <w:tcPr>
            <w:tcW w:w="32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CESI宋体-GB2312" w:cs="Times New Roman"/>
                <w:b w:val="0"/>
                <w:bCs w:val="0"/>
                <w:i w:val="0"/>
                <w:iCs w:val="0"/>
                <w:color w:val="000000"/>
                <w:kern w:val="0"/>
                <w:sz w:val="21"/>
                <w:szCs w:val="21"/>
                <w:u w:val="none"/>
                <w:lang w:val="en-US" w:eastAsia="zh-CN" w:bidi="ar"/>
              </w:rPr>
            </w:pPr>
            <w:r>
              <w:rPr>
                <w:rFonts w:hint="default" w:ascii="Times New Roman" w:hAnsi="Times New Roman" w:eastAsia="CESI宋体-GB2312" w:cs="Times New Roman"/>
                <w:b w:val="0"/>
                <w:bCs w:val="0"/>
                <w:i w:val="0"/>
                <w:iCs w:val="0"/>
                <w:color w:val="000000"/>
                <w:kern w:val="0"/>
                <w:sz w:val="21"/>
                <w:szCs w:val="21"/>
                <w:u w:val="none"/>
                <w:lang w:val="en-US" w:eastAsia="zh-CN" w:bidi="ar"/>
              </w:rPr>
              <w:t>东莞市公安局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rFonts w:hint="default" w:eastAsia="宋体"/>
                <w:szCs w:val="21"/>
                <w:lang w:val="en-US" w:eastAsia="zh-CN"/>
              </w:rPr>
            </w:pPr>
            <w:r>
              <w:rPr>
                <w:rFonts w:hint="eastAsia"/>
                <w:szCs w:val="21"/>
                <w:lang w:val="en-US" w:eastAsia="zh-CN"/>
              </w:rPr>
              <w:t>22</w:t>
            </w:r>
          </w:p>
        </w:tc>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CESI宋体-GB2312" w:cs="Times New Roman"/>
                <w:b w:val="0"/>
                <w:bCs w:val="0"/>
                <w:i w:val="0"/>
                <w:iCs w:val="0"/>
                <w:color w:val="000000"/>
                <w:kern w:val="0"/>
                <w:sz w:val="21"/>
                <w:szCs w:val="21"/>
                <w:u w:val="none"/>
                <w:lang w:val="en-US" w:eastAsia="zh-CN" w:bidi="ar"/>
              </w:rPr>
            </w:pPr>
            <w:r>
              <w:rPr>
                <w:rFonts w:hint="default" w:ascii="Times New Roman" w:hAnsi="Times New Roman" w:eastAsia="CESI宋体-GB2312" w:cs="Times New Roman"/>
                <w:b w:val="0"/>
                <w:bCs w:val="0"/>
                <w:i w:val="0"/>
                <w:iCs w:val="0"/>
                <w:color w:val="000000"/>
                <w:kern w:val="0"/>
                <w:sz w:val="21"/>
                <w:szCs w:val="21"/>
                <w:u w:val="none"/>
                <w:lang w:val="en-US" w:eastAsia="zh-CN" w:bidi="ar"/>
              </w:rPr>
              <w:t>黄埔区</w:t>
            </w:r>
            <w:r>
              <w:rPr>
                <w:rFonts w:hint="eastAsia" w:eastAsia="CESI宋体-GB2312" w:cs="Times New Roman"/>
                <w:b w:val="0"/>
                <w:bCs w:val="0"/>
                <w:i w:val="0"/>
                <w:iCs w:val="0"/>
                <w:color w:val="000000"/>
                <w:kern w:val="0"/>
                <w:sz w:val="21"/>
                <w:szCs w:val="21"/>
                <w:u w:val="none"/>
                <w:lang w:val="en-US" w:eastAsia="zh-CN" w:bidi="ar"/>
              </w:rPr>
              <w:t>“</w:t>
            </w:r>
            <w:r>
              <w:rPr>
                <w:rFonts w:hint="default" w:ascii="Times New Roman" w:hAnsi="Times New Roman" w:eastAsia="CESI宋体-GB2312" w:cs="Times New Roman"/>
                <w:b w:val="0"/>
                <w:bCs w:val="0"/>
                <w:i w:val="0"/>
                <w:iCs w:val="0"/>
                <w:color w:val="000000"/>
                <w:kern w:val="0"/>
                <w:sz w:val="21"/>
                <w:szCs w:val="21"/>
                <w:u w:val="none"/>
                <w:lang w:val="en-US" w:eastAsia="zh-CN" w:bidi="ar"/>
              </w:rPr>
              <w:t>中小企业能办大事</w:t>
            </w:r>
            <w:r>
              <w:rPr>
                <w:rFonts w:hint="eastAsia" w:eastAsia="CESI宋体-GB2312" w:cs="Times New Roman"/>
                <w:b w:val="0"/>
                <w:bCs w:val="0"/>
                <w:i w:val="0"/>
                <w:iCs w:val="0"/>
                <w:color w:val="000000"/>
                <w:kern w:val="0"/>
                <w:sz w:val="21"/>
                <w:szCs w:val="21"/>
                <w:u w:val="none"/>
                <w:lang w:val="en-US" w:eastAsia="zh-CN" w:bidi="ar"/>
              </w:rPr>
              <w:t>”</w:t>
            </w:r>
            <w:r>
              <w:rPr>
                <w:rFonts w:hint="default" w:ascii="Times New Roman" w:hAnsi="Times New Roman" w:eastAsia="CESI宋体-GB2312" w:cs="Times New Roman"/>
                <w:b w:val="0"/>
                <w:bCs w:val="0"/>
                <w:i w:val="0"/>
                <w:iCs w:val="0"/>
                <w:color w:val="000000"/>
                <w:kern w:val="0"/>
                <w:sz w:val="21"/>
                <w:szCs w:val="21"/>
                <w:u w:val="none"/>
                <w:lang w:val="en-US" w:eastAsia="zh-CN" w:bidi="ar"/>
              </w:rPr>
              <w:t>调研报告</w:t>
            </w:r>
          </w:p>
        </w:tc>
        <w:tc>
          <w:tcPr>
            <w:tcW w:w="32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CESI宋体-GB2312" w:cs="Times New Roman"/>
                <w:b w:val="0"/>
                <w:bCs w:val="0"/>
                <w:i w:val="0"/>
                <w:iCs w:val="0"/>
                <w:color w:val="000000"/>
                <w:kern w:val="0"/>
                <w:sz w:val="21"/>
                <w:szCs w:val="21"/>
                <w:u w:val="none"/>
                <w:lang w:val="en-US" w:eastAsia="zh-CN" w:bidi="ar"/>
              </w:rPr>
            </w:pPr>
            <w:r>
              <w:rPr>
                <w:rFonts w:hint="default" w:ascii="Times New Roman" w:hAnsi="Times New Roman" w:eastAsia="CESI宋体-GB2312" w:cs="Times New Roman"/>
                <w:b w:val="0"/>
                <w:bCs w:val="0"/>
                <w:i w:val="0"/>
                <w:iCs w:val="0"/>
                <w:color w:val="000000"/>
                <w:kern w:val="0"/>
                <w:sz w:val="21"/>
                <w:szCs w:val="21"/>
                <w:u w:val="none"/>
                <w:lang w:val="en-US" w:eastAsia="zh-CN" w:bidi="ar"/>
              </w:rPr>
              <w:t>广州市黄埔区融媒体中心</w:t>
            </w:r>
          </w:p>
        </w:tc>
      </w:tr>
    </w:tbl>
    <w:p>
      <w:pPr>
        <w:spacing w:before="157" w:beforeLines="50"/>
        <w:ind w:firstLine="480"/>
        <w:rPr>
          <w:rFonts w:hint="eastAsia"/>
        </w:rPr>
      </w:pPr>
      <w:r>
        <w:rPr>
          <w:rFonts w:hint="eastAsia"/>
        </w:rPr>
        <w:t>三是注重社会实践调研。利用我院建立的各类科研平台、实践基地，</w:t>
      </w:r>
      <w:r>
        <w:rPr>
          <w:rFonts w:hint="eastAsia"/>
          <w:lang w:val="en-US" w:eastAsia="zh-CN"/>
        </w:rPr>
        <w:t>及</w:t>
      </w:r>
      <w:r>
        <w:rPr>
          <w:rFonts w:hint="eastAsia"/>
        </w:rPr>
        <w:t>覆盖4个调研基地的200个家庭、80个社区的省情调研网，为学生提供多种类型的实习、调研和交流机会，让学生</w:t>
      </w:r>
      <w:r>
        <w:rPr>
          <w:rFonts w:hint="eastAsia"/>
          <w:lang w:eastAsia="zh-CN"/>
        </w:rPr>
        <w:t>深度</w:t>
      </w:r>
      <w:r>
        <w:rPr>
          <w:rFonts w:hint="eastAsia"/>
        </w:rPr>
        <w:t>参与</w:t>
      </w:r>
      <w:r>
        <w:rPr>
          <w:rFonts w:hint="eastAsia"/>
          <w:lang w:eastAsia="zh-CN"/>
        </w:rPr>
        <w:t>省委省</w:t>
      </w:r>
      <w:r>
        <w:rPr>
          <w:rFonts w:hint="eastAsia"/>
        </w:rPr>
        <w:t>政府、地方政府</w:t>
      </w:r>
      <w:r>
        <w:rPr>
          <w:rFonts w:hint="eastAsia"/>
          <w:lang w:eastAsia="zh-CN"/>
        </w:rPr>
        <w:t>、相关部门</w:t>
      </w:r>
      <w:r>
        <w:rPr>
          <w:rFonts w:hint="eastAsia"/>
        </w:rPr>
        <w:t>的</w:t>
      </w:r>
      <w:r>
        <w:rPr>
          <w:rFonts w:hint="eastAsia"/>
          <w:lang w:eastAsia="zh-CN"/>
        </w:rPr>
        <w:t>委托课题，了解国情省情，把论文写在祖国大地上</w:t>
      </w:r>
      <w:r>
        <w:rPr>
          <w:rFonts w:hint="eastAsia"/>
        </w:rPr>
        <w:t>。</w:t>
      </w:r>
    </w:p>
    <w:p>
      <w:pPr>
        <w:ind w:firstLine="480"/>
        <w:rPr>
          <w:rFonts w:hint="eastAsia"/>
        </w:rPr>
      </w:pPr>
      <w:r>
        <w:rPr>
          <w:rFonts w:hint="eastAsia"/>
        </w:rPr>
        <w:t>四是注重对外交流。我院鼓励研究生在学期间积极参加国内外学术交流活动、撰写和发表学术论文，并为学生畅通了国内外学术交流和成果发表渠道。</w:t>
      </w:r>
    </w:p>
    <w:p>
      <w:pPr>
        <w:pStyle w:val="4"/>
        <w:keepNext w:val="0"/>
        <w:keepLines w:val="0"/>
        <w:widowControl w:val="0"/>
        <w:ind w:firstLine="602" w:firstLineChars="200"/>
        <w:rPr>
          <w:rFonts w:hint="eastAsia"/>
        </w:rPr>
      </w:pPr>
      <w:bookmarkStart w:id="126" w:name="_Toc3871"/>
      <w:bookmarkStart w:id="127" w:name="_Toc20373"/>
      <w:bookmarkStart w:id="128" w:name="_Toc67497722"/>
      <w:bookmarkStart w:id="129" w:name="_Toc67497685"/>
      <w:bookmarkStart w:id="130" w:name="_Toc14057"/>
      <w:bookmarkStart w:id="131" w:name="_Toc6789"/>
      <w:bookmarkStart w:id="132" w:name="_Toc6487"/>
      <w:bookmarkStart w:id="133" w:name="_Toc127791874"/>
      <w:r>
        <w:rPr>
          <w:rFonts w:hint="eastAsia"/>
        </w:rPr>
        <w:t>（四）学术交流</w:t>
      </w:r>
      <w:bookmarkEnd w:id="126"/>
      <w:bookmarkEnd w:id="127"/>
      <w:bookmarkEnd w:id="128"/>
      <w:bookmarkEnd w:id="129"/>
      <w:bookmarkEnd w:id="130"/>
      <w:bookmarkEnd w:id="131"/>
      <w:bookmarkEnd w:id="132"/>
      <w:bookmarkEnd w:id="133"/>
    </w:p>
    <w:p>
      <w:pPr>
        <w:ind w:firstLine="480"/>
        <w:rPr>
          <w:rFonts w:hint="eastAsia"/>
        </w:rPr>
      </w:pPr>
      <w:r>
        <w:rPr>
          <w:rFonts w:hint="eastAsia"/>
        </w:rPr>
        <w:t>我院研究生学术交流以线上线下相结合</w:t>
      </w:r>
      <w:r>
        <w:rPr>
          <w:rFonts w:hint="eastAsia"/>
          <w:lang w:val="en-US" w:eastAsia="zh-CN"/>
        </w:rPr>
        <w:t>的</w:t>
      </w:r>
      <w:r>
        <w:rPr>
          <w:rFonts w:hint="eastAsia"/>
        </w:rPr>
        <w:t>方式立足国内、面向国际。我院主办、承办的学术会议均对研究生全面开放，也鼓励研究生参与</w:t>
      </w:r>
      <w:r>
        <w:rPr>
          <w:rFonts w:hint="eastAsia"/>
          <w:lang w:val="en-US" w:eastAsia="zh-CN"/>
        </w:rPr>
        <w:t>国</w:t>
      </w:r>
      <w:r>
        <w:rPr>
          <w:rFonts w:hint="eastAsia"/>
        </w:rPr>
        <w:t>内外线上、线下各类学术会议，为研究生对外交流提供更多机会。202</w:t>
      </w:r>
      <w:r>
        <w:rPr>
          <w:rFonts w:hint="eastAsia"/>
          <w:lang w:val="en-US" w:eastAsia="zh-CN"/>
        </w:rPr>
        <w:t>3</w:t>
      </w:r>
      <w:r>
        <w:rPr>
          <w:rFonts w:hint="eastAsia"/>
        </w:rPr>
        <w:t>年，我院研究生参与各类线上、线下学术交流活动</w:t>
      </w:r>
      <w:r>
        <w:rPr>
          <w:rFonts w:hint="eastAsia"/>
          <w:lang w:val="en-US" w:eastAsia="zh-CN"/>
        </w:rPr>
        <w:t>并宣读论文</w:t>
      </w:r>
      <w:r>
        <w:rPr>
          <w:rFonts w:hint="eastAsia"/>
          <w:lang w:eastAsia="zh-CN"/>
        </w:rPr>
        <w:t>（</w:t>
      </w:r>
      <w:r>
        <w:rPr>
          <w:rFonts w:hint="eastAsia"/>
          <w:lang w:val="en-US" w:eastAsia="zh-CN"/>
        </w:rPr>
        <w:t>见表13</w:t>
      </w:r>
      <w:r>
        <w:rPr>
          <w:rFonts w:hint="eastAsia"/>
          <w:lang w:eastAsia="zh-CN"/>
        </w:rPr>
        <w:t>）</w:t>
      </w:r>
      <w:r>
        <w:rPr>
          <w:rFonts w:hint="eastAsia"/>
        </w:rPr>
        <w:t>，</w:t>
      </w:r>
      <w:r>
        <w:rPr>
          <w:rFonts w:hint="eastAsia"/>
          <w:lang w:val="en-US" w:eastAsia="zh-CN"/>
        </w:rPr>
        <w:t>参与撰写的会议论文《农业转移人口市民化的经济效应——基于二元结构DSGE模型的估计与模拟》荣获2023广东社会科学学术年会优秀论文二等奖，组队参与第二十届中国研究生数学建模竞赛并荣获三等奖</w:t>
      </w:r>
      <w:r>
        <w:rPr>
          <w:rFonts w:hint="eastAsia"/>
        </w:rPr>
        <w:t>。</w:t>
      </w:r>
    </w:p>
    <w:p>
      <w:pPr>
        <w:ind w:firstLine="480"/>
        <w:rPr>
          <w:rFonts w:hint="eastAsia"/>
        </w:rPr>
      </w:pPr>
    </w:p>
    <w:p>
      <w:pPr>
        <w:ind w:firstLine="480"/>
        <w:rPr>
          <w:rFonts w:hint="eastAsia"/>
        </w:rPr>
      </w:pPr>
    </w:p>
    <w:p>
      <w:pPr>
        <w:pStyle w:val="2"/>
        <w:rPr>
          <w:rFonts w:hint="eastAsia"/>
        </w:rPr>
      </w:pPr>
    </w:p>
    <w:p>
      <w:pPr>
        <w:pStyle w:val="6"/>
        <w:keepNext w:val="0"/>
        <w:keepLines w:val="0"/>
        <w:spacing w:before="95" w:beforeLines="30" w:after="157" w:afterLines="50" w:line="240" w:lineRule="auto"/>
        <w:outlineLvl w:val="2"/>
        <w:rPr>
          <w:rFonts w:hint="eastAsia" w:ascii="Times New Roman" w:hAnsi="Times New Roman" w:eastAsia="宋体"/>
          <w:b/>
          <w:bCs w:val="0"/>
          <w:highlight w:val="none"/>
          <w:lang w:eastAsia="zh-CN"/>
        </w:rPr>
      </w:pPr>
      <w:r>
        <w:rPr>
          <w:rFonts w:hint="default" w:ascii="Times New Roman" w:hAnsi="Times New Roman"/>
          <w:b/>
          <w:bCs w:val="0"/>
          <w:highlight w:val="none"/>
        </w:rPr>
        <w:t>表</w:t>
      </w:r>
      <w:r>
        <w:rPr>
          <w:rFonts w:hint="default" w:ascii="Times New Roman" w:hAnsi="Times New Roman"/>
          <w:b/>
          <w:bCs w:val="0"/>
          <w:highlight w:val="none"/>
        </w:rPr>
        <w:fldChar w:fldCharType="begin"/>
      </w:r>
      <w:r>
        <w:rPr>
          <w:rFonts w:hint="default" w:ascii="Times New Roman" w:hAnsi="Times New Roman"/>
          <w:b/>
          <w:bCs w:val="0"/>
          <w:highlight w:val="none"/>
        </w:rPr>
        <w:instrText xml:space="preserve"> SEQ 表 \* ARABIC </w:instrText>
      </w:r>
      <w:r>
        <w:rPr>
          <w:rFonts w:hint="default" w:ascii="Times New Roman" w:hAnsi="Times New Roman"/>
          <w:b/>
          <w:bCs w:val="0"/>
          <w:highlight w:val="none"/>
        </w:rPr>
        <w:fldChar w:fldCharType="separate"/>
      </w:r>
      <w:r>
        <w:rPr>
          <w:rFonts w:ascii="Times New Roman" w:hAnsi="Times New Roman"/>
          <w:b/>
          <w:bCs w:val="0"/>
          <w:highlight w:val="none"/>
        </w:rPr>
        <w:t>1</w:t>
      </w:r>
      <w:r>
        <w:rPr>
          <w:rFonts w:hint="default" w:ascii="Times New Roman" w:hAnsi="Times New Roman"/>
          <w:b/>
          <w:bCs w:val="0"/>
          <w:highlight w:val="none"/>
        </w:rPr>
        <w:fldChar w:fldCharType="end"/>
      </w:r>
      <w:r>
        <w:rPr>
          <w:rFonts w:hint="eastAsia" w:ascii="Times New Roman" w:hAnsi="Times New Roman"/>
          <w:b/>
          <w:bCs w:val="0"/>
          <w:highlight w:val="none"/>
          <w:lang w:val="en-US" w:eastAsia="zh-CN"/>
        </w:rPr>
        <w:t>3</w:t>
      </w:r>
      <w:r>
        <w:rPr>
          <w:rFonts w:hint="default" w:ascii="Times New Roman" w:hAnsi="Times New Roman"/>
          <w:b/>
          <w:bCs w:val="0"/>
          <w:highlight w:val="none"/>
        </w:rPr>
        <w:t xml:space="preserve">  202</w:t>
      </w:r>
      <w:r>
        <w:rPr>
          <w:rFonts w:hint="eastAsia" w:ascii="Times New Roman" w:hAnsi="Times New Roman"/>
          <w:b/>
          <w:bCs w:val="0"/>
          <w:highlight w:val="none"/>
          <w:lang w:eastAsia="zh-CN"/>
        </w:rPr>
        <w:t>3</w:t>
      </w:r>
      <w:r>
        <w:rPr>
          <w:rFonts w:hint="default" w:ascii="Times New Roman" w:hAnsi="Times New Roman"/>
          <w:b/>
          <w:bCs w:val="0"/>
          <w:highlight w:val="none"/>
        </w:rPr>
        <w:t>年我院研究生参与</w:t>
      </w:r>
      <w:r>
        <w:rPr>
          <w:rFonts w:hint="eastAsia" w:ascii="Times New Roman" w:hAnsi="Times New Roman"/>
          <w:b/>
          <w:bCs w:val="0"/>
          <w:highlight w:val="none"/>
          <w:lang w:eastAsia="zh-CN"/>
        </w:rPr>
        <w:t>学术会议情况</w:t>
      </w:r>
    </w:p>
    <w:tbl>
      <w:tblPr>
        <w:tblStyle w:val="14"/>
        <w:tblW w:w="501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100"/>
        <w:gridCol w:w="3510"/>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29" w:type="pct"/>
            <w:tcBorders>
              <w:tl2br w:val="nil"/>
              <w:tr2bl w:val="nil"/>
            </w:tcBorders>
            <w:noWrap w:val="0"/>
            <w:vAlign w:val="center"/>
          </w:tcPr>
          <w:p>
            <w:pPr>
              <w:pStyle w:val="30"/>
              <w:widowControl w:val="0"/>
              <w:spacing w:line="240" w:lineRule="auto"/>
              <w:rPr>
                <w:rFonts w:hint="eastAsia" w:asciiTheme="majorEastAsia" w:hAnsiTheme="majorEastAsia" w:eastAsiaTheme="majorEastAsia" w:cstheme="majorEastAsia"/>
                <w:b w:val="0"/>
                <w:bCs w:val="0"/>
                <w:color w:val="000000"/>
                <w:szCs w:val="21"/>
              </w:rPr>
            </w:pPr>
            <w:r>
              <w:rPr>
                <w:rFonts w:hint="eastAsia" w:asciiTheme="majorEastAsia" w:hAnsiTheme="majorEastAsia" w:eastAsiaTheme="majorEastAsia" w:cstheme="majorEastAsia"/>
                <w:b w:val="0"/>
                <w:bCs w:val="0"/>
                <w:color w:val="000000"/>
                <w:szCs w:val="21"/>
              </w:rPr>
              <w:t>序号</w:t>
            </w:r>
          </w:p>
        </w:tc>
        <w:tc>
          <w:tcPr>
            <w:tcW w:w="1811" w:type="pct"/>
            <w:tcBorders>
              <w:tl2br w:val="nil"/>
              <w:tr2bl w:val="nil"/>
            </w:tcBorders>
            <w:noWrap w:val="0"/>
            <w:vAlign w:val="center"/>
          </w:tcPr>
          <w:p>
            <w:pPr>
              <w:pStyle w:val="30"/>
              <w:widowControl w:val="0"/>
              <w:spacing w:line="240" w:lineRule="auto"/>
              <w:rPr>
                <w:rFonts w:hint="eastAsia" w:asciiTheme="majorEastAsia" w:hAnsiTheme="majorEastAsia" w:eastAsiaTheme="majorEastAsia" w:cstheme="majorEastAsia"/>
                <w:b w:val="0"/>
                <w:bCs w:val="0"/>
                <w:color w:val="000000"/>
                <w:szCs w:val="21"/>
              </w:rPr>
            </w:pPr>
            <w:r>
              <w:rPr>
                <w:rFonts w:hint="eastAsia" w:asciiTheme="majorEastAsia" w:hAnsiTheme="majorEastAsia" w:eastAsiaTheme="majorEastAsia" w:cstheme="majorEastAsia"/>
                <w:b w:val="0"/>
                <w:bCs w:val="0"/>
                <w:color w:val="000000"/>
                <w:szCs w:val="21"/>
              </w:rPr>
              <w:t>会议名称</w:t>
            </w:r>
          </w:p>
        </w:tc>
        <w:tc>
          <w:tcPr>
            <w:tcW w:w="2051" w:type="pct"/>
            <w:tcBorders>
              <w:tl2br w:val="nil"/>
              <w:tr2bl w:val="nil"/>
            </w:tcBorders>
            <w:noWrap w:val="0"/>
            <w:vAlign w:val="center"/>
          </w:tcPr>
          <w:p>
            <w:pPr>
              <w:pStyle w:val="30"/>
              <w:widowControl w:val="0"/>
              <w:spacing w:line="240" w:lineRule="auto"/>
              <w:rPr>
                <w:rFonts w:hint="eastAsia" w:asciiTheme="majorEastAsia" w:hAnsiTheme="majorEastAsia" w:eastAsiaTheme="majorEastAsia" w:cstheme="majorEastAsia"/>
                <w:b w:val="0"/>
                <w:bCs w:val="0"/>
                <w:color w:val="000000"/>
                <w:szCs w:val="21"/>
              </w:rPr>
            </w:pPr>
            <w:r>
              <w:rPr>
                <w:rFonts w:hint="eastAsia" w:asciiTheme="majorEastAsia" w:hAnsiTheme="majorEastAsia" w:eastAsiaTheme="majorEastAsia" w:cstheme="majorEastAsia"/>
                <w:b w:val="0"/>
                <w:bCs w:val="0"/>
                <w:color w:val="000000"/>
                <w:szCs w:val="21"/>
              </w:rPr>
              <w:t>报告题目</w:t>
            </w:r>
          </w:p>
        </w:tc>
        <w:tc>
          <w:tcPr>
            <w:tcW w:w="707" w:type="pct"/>
            <w:tcBorders>
              <w:tl2br w:val="nil"/>
              <w:tr2bl w:val="nil"/>
            </w:tcBorders>
            <w:noWrap w:val="0"/>
            <w:vAlign w:val="center"/>
          </w:tcPr>
          <w:p>
            <w:pPr>
              <w:widowControl w:val="0"/>
              <w:spacing w:line="240" w:lineRule="auto"/>
              <w:ind w:firstLine="0" w:firstLineChars="0"/>
              <w:jc w:val="center"/>
              <w:rPr>
                <w:rFonts w:hint="eastAsia" w:asciiTheme="majorEastAsia" w:hAnsiTheme="majorEastAsia" w:eastAsiaTheme="majorEastAsia" w:cstheme="majorEastAsia"/>
                <w:b w:val="0"/>
                <w:bCs w:val="0"/>
                <w:color w:val="000000"/>
                <w:kern w:val="0"/>
                <w:sz w:val="21"/>
                <w:szCs w:val="21"/>
              </w:rPr>
            </w:pPr>
            <w:r>
              <w:rPr>
                <w:rFonts w:hint="eastAsia" w:asciiTheme="majorEastAsia" w:hAnsiTheme="majorEastAsia" w:eastAsiaTheme="majorEastAsia" w:cstheme="majorEastAsia"/>
                <w:b w:val="0"/>
                <w:bCs w:val="0"/>
                <w:color w:val="000000"/>
                <w:kern w:val="0"/>
                <w:sz w:val="21"/>
                <w:szCs w:val="21"/>
              </w:rPr>
              <w:t>报告地点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29" w:type="pct"/>
            <w:tcBorders>
              <w:tl2br w:val="nil"/>
              <w:tr2bl w:val="nil"/>
            </w:tcBorders>
            <w:noWrap w:val="0"/>
            <w:vAlign w:val="center"/>
          </w:tcPr>
          <w:p>
            <w:pPr>
              <w:pStyle w:val="30"/>
              <w:widowControl w:val="0"/>
              <w:spacing w:line="240" w:lineRule="auto"/>
              <w:rPr>
                <w:rFonts w:hint="default" w:eastAsia="宋体"/>
                <w:color w:val="000000"/>
                <w:szCs w:val="21"/>
                <w:lang w:val="en-US" w:eastAsia="zh-CN"/>
              </w:rPr>
            </w:pPr>
            <w:r>
              <w:rPr>
                <w:rFonts w:hint="default"/>
                <w:color w:val="000000"/>
                <w:szCs w:val="21"/>
                <w:lang w:val="en-US" w:eastAsia="zh-CN"/>
              </w:rPr>
              <w:t>1</w:t>
            </w:r>
          </w:p>
        </w:tc>
        <w:tc>
          <w:tcPr>
            <w:tcW w:w="1811" w:type="pct"/>
            <w:tcBorders>
              <w:tl2br w:val="nil"/>
              <w:tr2bl w:val="nil"/>
            </w:tcBorders>
            <w:noWrap/>
            <w:vAlign w:val="center"/>
          </w:tcPr>
          <w:p>
            <w:pPr>
              <w:widowControl/>
              <w:spacing w:line="240" w:lineRule="auto"/>
              <w:ind w:firstLine="0" w:firstLineChars="0"/>
              <w:jc w:val="center"/>
              <w:textAlignment w:val="center"/>
              <w:rPr>
                <w:rFonts w:hint="default" w:ascii="Times New Roman" w:hAnsi="Times New Roman" w:eastAsia="CESI宋体-GB2312" w:cs="Times New Roman"/>
                <w:i w:val="0"/>
                <w:iCs w:val="0"/>
                <w:color w:val="000000"/>
                <w:kern w:val="0"/>
                <w:sz w:val="21"/>
                <w:szCs w:val="21"/>
                <w:u w:val="none"/>
                <w:lang w:val="en-US" w:eastAsia="zh-CN" w:bidi="ar"/>
              </w:rPr>
            </w:pPr>
            <w:r>
              <w:rPr>
                <w:rFonts w:hint="default" w:ascii="Times New Roman" w:hAnsi="Times New Roman" w:eastAsia="CESI宋体-GB2312" w:cs="Times New Roman"/>
                <w:i w:val="0"/>
                <w:iCs w:val="0"/>
                <w:color w:val="000000"/>
                <w:kern w:val="0"/>
                <w:sz w:val="21"/>
                <w:szCs w:val="21"/>
                <w:u w:val="none"/>
                <w:lang w:val="en-US" w:eastAsia="zh-CN" w:bidi="ar"/>
              </w:rPr>
              <w:t>2023 Asian Meeting of the Econometric Society in East and Southeast Asia</w:t>
            </w:r>
          </w:p>
        </w:tc>
        <w:tc>
          <w:tcPr>
            <w:tcW w:w="2051" w:type="pct"/>
            <w:tcBorders>
              <w:tl2br w:val="nil"/>
              <w:tr2bl w:val="nil"/>
            </w:tcBorders>
            <w:noWrap w:val="0"/>
            <w:vAlign w:val="center"/>
          </w:tcPr>
          <w:p>
            <w:pPr>
              <w:widowControl/>
              <w:spacing w:line="240" w:lineRule="auto"/>
              <w:ind w:firstLine="0" w:firstLineChars="0"/>
              <w:jc w:val="center"/>
              <w:textAlignment w:val="center"/>
              <w:rPr>
                <w:rFonts w:hint="default" w:ascii="Times New Roman" w:hAnsi="Times New Roman" w:eastAsia="CESI宋体-GB2312" w:cs="Times New Roman"/>
                <w:i w:val="0"/>
                <w:iCs w:val="0"/>
                <w:color w:val="000000"/>
                <w:kern w:val="0"/>
                <w:sz w:val="21"/>
                <w:szCs w:val="21"/>
                <w:u w:val="none"/>
                <w:lang w:val="en-US" w:eastAsia="zh-CN" w:bidi="ar"/>
              </w:rPr>
            </w:pPr>
            <w:r>
              <w:rPr>
                <w:rFonts w:hint="default" w:ascii="Times New Roman" w:hAnsi="Times New Roman" w:eastAsia="CESI宋体-GB2312" w:cs="Times New Roman"/>
                <w:i w:val="0"/>
                <w:iCs w:val="0"/>
                <w:color w:val="000000"/>
                <w:kern w:val="0"/>
                <w:sz w:val="21"/>
                <w:szCs w:val="21"/>
                <w:u w:val="none"/>
                <w:lang w:val="en-US" w:eastAsia="zh-CN" w:bidi="ar"/>
              </w:rPr>
              <w:t>Can China's Carbon Emission Trading System Promote Green Innovation? Empirical Analysis Based on a Staggered DID Approach</w:t>
            </w:r>
          </w:p>
        </w:tc>
        <w:tc>
          <w:tcPr>
            <w:tcW w:w="707" w:type="pct"/>
            <w:tcBorders>
              <w:tl2br w:val="nil"/>
              <w:tr2bl w:val="nil"/>
            </w:tcBorders>
            <w:noWrap/>
            <w:vAlign w:val="center"/>
          </w:tcPr>
          <w:p>
            <w:pPr>
              <w:widowControl/>
              <w:spacing w:line="240" w:lineRule="auto"/>
              <w:ind w:firstLine="0" w:firstLineChars="0"/>
              <w:jc w:val="center"/>
              <w:textAlignment w:val="center"/>
              <w:rPr>
                <w:rFonts w:hint="eastAsia" w:ascii="CESI宋体-GB2312" w:hAnsi="CESI宋体-GB2312" w:eastAsia="CESI宋体-GB2312" w:cs="CESI宋体-GB2312"/>
                <w:i w:val="0"/>
                <w:iCs w:val="0"/>
                <w:color w:val="000000"/>
                <w:kern w:val="0"/>
                <w:sz w:val="21"/>
                <w:szCs w:val="21"/>
                <w:u w:val="none"/>
                <w:lang w:val="en-US" w:eastAsia="zh-CN" w:bidi="ar"/>
              </w:rPr>
            </w:pPr>
            <w:r>
              <w:rPr>
                <w:rFonts w:hint="eastAsia" w:ascii="CESI宋体-GB2312" w:hAnsi="CESI宋体-GB2312" w:eastAsia="CESI宋体-GB2312" w:cs="CESI宋体-GB2312"/>
                <w:i w:val="0"/>
                <w:iCs w:val="0"/>
                <w:color w:val="000000"/>
                <w:kern w:val="0"/>
                <w:sz w:val="21"/>
                <w:szCs w:val="21"/>
                <w:u w:val="none"/>
                <w:lang w:val="en-US" w:eastAsia="zh-CN" w:bidi="ar"/>
              </w:rPr>
              <w:t>新加坡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29" w:type="pct"/>
            <w:tcBorders>
              <w:tl2br w:val="nil"/>
              <w:tr2bl w:val="nil"/>
            </w:tcBorders>
            <w:noWrap w:val="0"/>
            <w:vAlign w:val="center"/>
          </w:tcPr>
          <w:p>
            <w:pPr>
              <w:pStyle w:val="30"/>
              <w:widowControl w:val="0"/>
              <w:spacing w:line="240" w:lineRule="auto"/>
              <w:rPr>
                <w:rFonts w:hint="default" w:eastAsia="宋体"/>
                <w:color w:val="000000"/>
                <w:szCs w:val="21"/>
                <w:lang w:eastAsia="zh-CN"/>
              </w:rPr>
            </w:pPr>
            <w:r>
              <w:rPr>
                <w:rFonts w:hint="default"/>
                <w:color w:val="000000"/>
                <w:szCs w:val="21"/>
                <w:lang w:val="en-US" w:eastAsia="zh-CN"/>
              </w:rPr>
              <w:t>2</w:t>
            </w:r>
          </w:p>
        </w:tc>
        <w:tc>
          <w:tcPr>
            <w:tcW w:w="1811" w:type="pct"/>
            <w:tcBorders>
              <w:tl2br w:val="nil"/>
              <w:tr2bl w:val="nil"/>
            </w:tcBorders>
            <w:noWrap/>
            <w:vAlign w:val="center"/>
          </w:tcPr>
          <w:p>
            <w:pPr>
              <w:widowControl/>
              <w:spacing w:line="240" w:lineRule="auto"/>
              <w:ind w:firstLine="0" w:firstLineChars="0"/>
              <w:jc w:val="center"/>
              <w:textAlignment w:val="center"/>
              <w:rPr>
                <w:rFonts w:ascii="Times New Roman" w:hAnsi="Times New Roman" w:cs="Times New Roman"/>
                <w:color w:val="000000"/>
                <w:szCs w:val="21"/>
              </w:rPr>
            </w:pPr>
            <w:r>
              <w:rPr>
                <w:rFonts w:hint="default" w:ascii="Times New Roman" w:hAnsi="Times New Roman" w:eastAsia="CESI宋体-GB2312" w:cs="Times New Roman"/>
                <w:i w:val="0"/>
                <w:iCs w:val="0"/>
                <w:color w:val="000000"/>
                <w:kern w:val="0"/>
                <w:sz w:val="21"/>
                <w:szCs w:val="21"/>
                <w:u w:val="none"/>
                <w:lang w:val="en-US" w:eastAsia="zh-CN" w:bidi="ar"/>
              </w:rPr>
              <w:t>2023粤港澳大湾区学术研讨会</w:t>
            </w:r>
          </w:p>
        </w:tc>
        <w:tc>
          <w:tcPr>
            <w:tcW w:w="2051" w:type="pct"/>
            <w:tcBorders>
              <w:tl2br w:val="nil"/>
              <w:tr2bl w:val="nil"/>
            </w:tcBorders>
            <w:noWrap w:val="0"/>
            <w:vAlign w:val="center"/>
          </w:tcPr>
          <w:p>
            <w:pPr>
              <w:widowControl/>
              <w:spacing w:line="240" w:lineRule="auto"/>
              <w:ind w:firstLine="0" w:firstLineChars="0"/>
              <w:jc w:val="center"/>
              <w:textAlignment w:val="center"/>
              <w:rPr>
                <w:rFonts w:ascii="Times New Roman" w:hAnsi="Times New Roman" w:cs="Times New Roman"/>
                <w:color w:val="000000"/>
                <w:szCs w:val="21"/>
              </w:rPr>
            </w:pPr>
            <w:r>
              <w:rPr>
                <w:rFonts w:hint="default" w:ascii="Times New Roman" w:hAnsi="Times New Roman" w:eastAsia="CESI宋体-GB2312" w:cs="Times New Roman"/>
                <w:i w:val="0"/>
                <w:iCs w:val="0"/>
                <w:color w:val="000000"/>
                <w:kern w:val="0"/>
                <w:sz w:val="21"/>
                <w:szCs w:val="21"/>
                <w:u w:val="none"/>
                <w:lang w:val="en-US" w:eastAsia="zh-CN" w:bidi="ar"/>
              </w:rPr>
              <w:t>粤港澳大湾区信息流空间网络格局的构建机制研究</w:t>
            </w:r>
          </w:p>
        </w:tc>
        <w:tc>
          <w:tcPr>
            <w:tcW w:w="707" w:type="pct"/>
            <w:tcBorders>
              <w:tl2br w:val="nil"/>
              <w:tr2bl w:val="nil"/>
            </w:tcBorders>
            <w:noWrap/>
            <w:vAlign w:val="center"/>
          </w:tcPr>
          <w:p>
            <w:pPr>
              <w:widowControl/>
              <w:spacing w:line="240" w:lineRule="auto"/>
              <w:ind w:firstLine="0" w:firstLineChars="0"/>
              <w:jc w:val="center"/>
              <w:textAlignment w:val="center"/>
              <w:rPr>
                <w:rFonts w:hint="eastAsia" w:ascii="宋体" w:hAnsi="宋体" w:eastAsia="宋体" w:cs="宋体"/>
                <w:color w:val="000000"/>
                <w:kern w:val="0"/>
                <w:sz w:val="21"/>
                <w:szCs w:val="21"/>
                <w:lang w:eastAsia="zh-CN"/>
              </w:rPr>
            </w:pPr>
            <w:r>
              <w:rPr>
                <w:rFonts w:hint="eastAsia" w:ascii="CESI宋体-GB2312" w:hAnsi="CESI宋体-GB2312" w:eastAsia="CESI宋体-GB2312" w:cs="CESI宋体-GB2312"/>
                <w:i w:val="0"/>
                <w:iCs w:val="0"/>
                <w:color w:val="000000"/>
                <w:kern w:val="0"/>
                <w:sz w:val="21"/>
                <w:szCs w:val="21"/>
                <w:u w:val="none"/>
                <w:lang w:val="en-US" w:eastAsia="zh-CN" w:bidi="ar"/>
              </w:rPr>
              <w:t>广州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29" w:type="pct"/>
            <w:tcBorders>
              <w:tl2br w:val="nil"/>
              <w:tr2bl w:val="nil"/>
            </w:tcBorders>
            <w:noWrap w:val="0"/>
            <w:vAlign w:val="center"/>
          </w:tcPr>
          <w:p>
            <w:pPr>
              <w:pStyle w:val="30"/>
              <w:widowControl w:val="0"/>
              <w:spacing w:line="240" w:lineRule="auto"/>
              <w:rPr>
                <w:rFonts w:hint="default" w:eastAsia="宋体"/>
                <w:color w:val="000000"/>
                <w:szCs w:val="21"/>
                <w:lang w:eastAsia="zh-CN"/>
              </w:rPr>
            </w:pPr>
            <w:r>
              <w:rPr>
                <w:rFonts w:hint="default"/>
                <w:color w:val="000000"/>
                <w:szCs w:val="21"/>
                <w:lang w:val="en-US" w:eastAsia="zh-CN"/>
              </w:rPr>
              <w:t>3</w:t>
            </w:r>
          </w:p>
        </w:tc>
        <w:tc>
          <w:tcPr>
            <w:tcW w:w="1811" w:type="pct"/>
            <w:vMerge w:val="restart"/>
            <w:tcBorders>
              <w:tl2br w:val="nil"/>
              <w:tr2bl w:val="nil"/>
            </w:tcBorders>
            <w:noWrap/>
            <w:vAlign w:val="center"/>
          </w:tcPr>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eastAsia="CESI宋体-GB2312" w:cs="Times New Roman"/>
                <w:i w:val="0"/>
                <w:iCs w:val="0"/>
                <w:color w:val="000000"/>
                <w:kern w:val="0"/>
                <w:sz w:val="21"/>
                <w:szCs w:val="21"/>
                <w:u w:val="none"/>
                <w:lang w:val="en-US" w:eastAsia="zh-CN" w:bidi="ar"/>
              </w:rPr>
              <w:t>中国环境科学学会环境经济学分会2023年学术年会</w:t>
            </w:r>
          </w:p>
        </w:tc>
        <w:tc>
          <w:tcPr>
            <w:tcW w:w="2051" w:type="pct"/>
            <w:tcBorders>
              <w:tl2br w:val="nil"/>
              <w:tr2bl w:val="nil"/>
            </w:tcBorders>
            <w:noWrap w:val="0"/>
            <w:vAlign w:val="center"/>
          </w:tcPr>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eastAsia="CESI宋体-GB2312" w:cs="Times New Roman"/>
                <w:i w:val="0"/>
                <w:iCs w:val="0"/>
                <w:color w:val="000000"/>
                <w:kern w:val="0"/>
                <w:sz w:val="21"/>
                <w:szCs w:val="21"/>
                <w:u w:val="none"/>
                <w:lang w:val="en-US" w:eastAsia="zh-CN" w:bidi="ar"/>
              </w:rPr>
              <w:t>人工智能创新与企业绿色转型——来自上市企业专利的证据</w:t>
            </w:r>
          </w:p>
        </w:tc>
        <w:tc>
          <w:tcPr>
            <w:tcW w:w="707" w:type="pct"/>
            <w:vMerge w:val="restart"/>
            <w:tcBorders>
              <w:tl2br w:val="nil"/>
              <w:tr2bl w:val="nil"/>
            </w:tcBorders>
            <w:noWrap/>
            <w:vAlign w:val="center"/>
          </w:tcPr>
          <w:p>
            <w:pPr>
              <w:widowControl/>
              <w:spacing w:line="240" w:lineRule="auto"/>
              <w:ind w:firstLine="0" w:firstLineChars="0"/>
              <w:jc w:val="center"/>
              <w:textAlignment w:val="center"/>
              <w:rPr>
                <w:rFonts w:hint="eastAsia" w:ascii="宋体" w:hAnsi="宋体" w:cs="宋体"/>
                <w:color w:val="000000"/>
                <w:kern w:val="0"/>
                <w:sz w:val="21"/>
                <w:szCs w:val="21"/>
              </w:rPr>
            </w:pPr>
            <w:r>
              <w:rPr>
                <w:rFonts w:hint="eastAsia" w:ascii="CESI宋体-GB2312" w:hAnsi="CESI宋体-GB2312" w:eastAsia="CESI宋体-GB2312" w:cs="CESI宋体-GB2312"/>
                <w:i w:val="0"/>
                <w:iCs w:val="0"/>
                <w:color w:val="000000"/>
                <w:kern w:val="0"/>
                <w:sz w:val="21"/>
                <w:szCs w:val="21"/>
                <w:u w:val="none"/>
                <w:lang w:val="en-US" w:eastAsia="zh-CN" w:bidi="ar"/>
              </w:rPr>
              <w:t>长沙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29" w:type="pct"/>
            <w:tcBorders>
              <w:tl2br w:val="nil"/>
              <w:tr2bl w:val="nil"/>
            </w:tcBorders>
            <w:noWrap w:val="0"/>
            <w:vAlign w:val="center"/>
          </w:tcPr>
          <w:p>
            <w:pPr>
              <w:pStyle w:val="30"/>
              <w:widowControl w:val="0"/>
              <w:spacing w:line="240" w:lineRule="auto"/>
              <w:rPr>
                <w:rFonts w:hint="default" w:eastAsia="宋体"/>
                <w:color w:val="000000"/>
                <w:szCs w:val="21"/>
                <w:lang w:val="en-US" w:eastAsia="zh-CN"/>
              </w:rPr>
            </w:pPr>
            <w:r>
              <w:rPr>
                <w:rFonts w:hint="default"/>
                <w:color w:val="000000"/>
                <w:szCs w:val="21"/>
                <w:lang w:val="en-US" w:eastAsia="zh-CN"/>
              </w:rPr>
              <w:t>4</w:t>
            </w:r>
          </w:p>
        </w:tc>
        <w:tc>
          <w:tcPr>
            <w:tcW w:w="1811" w:type="pct"/>
            <w:vMerge w:val="continue"/>
            <w:tcBorders>
              <w:tl2br w:val="nil"/>
              <w:tr2bl w:val="nil"/>
            </w:tcBorders>
            <w:noWrap/>
            <w:vAlign w:val="center"/>
          </w:tcPr>
          <w:p>
            <w:pPr>
              <w:widowControl/>
              <w:spacing w:line="240" w:lineRule="auto"/>
              <w:ind w:firstLine="0" w:firstLineChars="0"/>
              <w:jc w:val="center"/>
              <w:textAlignment w:val="center"/>
              <w:rPr>
                <w:rFonts w:hint="default" w:ascii="Times New Roman" w:hAnsi="Times New Roman" w:eastAsia="CESI宋体-GB2312" w:cs="Times New Roman"/>
                <w:i w:val="0"/>
                <w:iCs w:val="0"/>
                <w:color w:val="000000"/>
                <w:kern w:val="0"/>
                <w:sz w:val="21"/>
                <w:szCs w:val="21"/>
                <w:u w:val="none"/>
                <w:lang w:val="en-US" w:eastAsia="zh-CN" w:bidi="ar"/>
              </w:rPr>
            </w:pPr>
          </w:p>
        </w:tc>
        <w:tc>
          <w:tcPr>
            <w:tcW w:w="2051" w:type="pct"/>
            <w:tcBorders>
              <w:tl2br w:val="nil"/>
              <w:tr2bl w:val="nil"/>
            </w:tcBorders>
            <w:noWrap w:val="0"/>
            <w:vAlign w:val="center"/>
          </w:tcPr>
          <w:p>
            <w:pPr>
              <w:widowControl/>
              <w:spacing w:line="240" w:lineRule="auto"/>
              <w:ind w:firstLine="0" w:firstLineChars="0"/>
              <w:jc w:val="center"/>
              <w:textAlignment w:val="center"/>
              <w:rPr>
                <w:rFonts w:hint="default" w:ascii="Times New Roman" w:hAnsi="Times New Roman" w:eastAsia="CESI宋体-GB2312" w:cs="Times New Roman"/>
                <w:i w:val="0"/>
                <w:iCs w:val="0"/>
                <w:color w:val="000000"/>
                <w:kern w:val="0"/>
                <w:sz w:val="21"/>
                <w:szCs w:val="21"/>
                <w:u w:val="none"/>
                <w:lang w:val="en-US" w:eastAsia="zh-CN" w:bidi="ar"/>
              </w:rPr>
            </w:pPr>
            <w:r>
              <w:rPr>
                <w:rFonts w:hint="default" w:ascii="Times New Roman" w:hAnsi="Times New Roman" w:eastAsia="CESI宋体-GB2312" w:cs="Times New Roman"/>
                <w:i w:val="0"/>
                <w:iCs w:val="0"/>
                <w:color w:val="000000"/>
                <w:kern w:val="0"/>
                <w:sz w:val="21"/>
                <w:szCs w:val="21"/>
                <w:u w:val="none"/>
                <w:lang w:val="en-US" w:eastAsia="zh-CN" w:bidi="ar"/>
              </w:rPr>
              <w:t>基于两阶段DEA模型的中国核电企业技术创新效率研究</w:t>
            </w:r>
          </w:p>
        </w:tc>
        <w:tc>
          <w:tcPr>
            <w:tcW w:w="707" w:type="pct"/>
            <w:vMerge w:val="continue"/>
            <w:tcBorders>
              <w:tl2br w:val="nil"/>
              <w:tr2bl w:val="nil"/>
            </w:tcBorders>
            <w:noWrap/>
            <w:vAlign w:val="center"/>
          </w:tcPr>
          <w:p>
            <w:pPr>
              <w:widowControl/>
              <w:spacing w:line="240" w:lineRule="auto"/>
              <w:ind w:firstLine="0" w:firstLineChars="0"/>
              <w:jc w:val="center"/>
              <w:textAlignment w:val="center"/>
              <w:rPr>
                <w:rFonts w:hint="eastAsia" w:ascii="CESI宋体-GB2312" w:hAnsi="CESI宋体-GB2312" w:eastAsia="CESI宋体-GB2312" w:cs="CESI宋体-GB2312"/>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29" w:type="pct"/>
            <w:tcBorders>
              <w:tl2br w:val="nil"/>
              <w:tr2bl w:val="nil"/>
            </w:tcBorders>
            <w:noWrap w:val="0"/>
            <w:vAlign w:val="center"/>
          </w:tcPr>
          <w:p>
            <w:pPr>
              <w:pStyle w:val="30"/>
              <w:widowControl w:val="0"/>
              <w:spacing w:line="240" w:lineRule="auto"/>
              <w:rPr>
                <w:rFonts w:hint="default" w:eastAsia="宋体"/>
                <w:color w:val="000000"/>
                <w:szCs w:val="21"/>
                <w:lang w:val="en-US" w:eastAsia="zh-CN"/>
              </w:rPr>
            </w:pPr>
            <w:r>
              <w:rPr>
                <w:rFonts w:hint="default"/>
                <w:color w:val="000000"/>
                <w:szCs w:val="21"/>
                <w:lang w:val="en-US" w:eastAsia="zh-CN"/>
              </w:rPr>
              <w:t>5</w:t>
            </w:r>
          </w:p>
        </w:tc>
        <w:tc>
          <w:tcPr>
            <w:tcW w:w="1811" w:type="pct"/>
            <w:vMerge w:val="continue"/>
            <w:tcBorders>
              <w:tl2br w:val="nil"/>
              <w:tr2bl w:val="nil"/>
            </w:tcBorders>
            <w:noWrap/>
            <w:vAlign w:val="center"/>
          </w:tcPr>
          <w:p>
            <w:pPr>
              <w:widowControl/>
              <w:spacing w:line="240" w:lineRule="auto"/>
              <w:ind w:firstLine="0" w:firstLineChars="0"/>
              <w:jc w:val="center"/>
              <w:textAlignment w:val="center"/>
              <w:rPr>
                <w:rFonts w:hint="default" w:ascii="Times New Roman" w:hAnsi="Times New Roman" w:eastAsia="CESI宋体-GB2312" w:cs="Times New Roman"/>
                <w:i w:val="0"/>
                <w:iCs w:val="0"/>
                <w:color w:val="000000"/>
                <w:kern w:val="0"/>
                <w:sz w:val="21"/>
                <w:szCs w:val="21"/>
                <w:u w:val="none"/>
                <w:lang w:val="en-US" w:eastAsia="zh-CN" w:bidi="ar"/>
              </w:rPr>
            </w:pPr>
          </w:p>
        </w:tc>
        <w:tc>
          <w:tcPr>
            <w:tcW w:w="2051" w:type="pct"/>
            <w:tcBorders>
              <w:tl2br w:val="nil"/>
              <w:tr2bl w:val="nil"/>
            </w:tcBorders>
            <w:noWrap w:val="0"/>
            <w:vAlign w:val="center"/>
          </w:tcPr>
          <w:p>
            <w:pPr>
              <w:widowControl/>
              <w:spacing w:line="240" w:lineRule="auto"/>
              <w:ind w:firstLine="0" w:firstLineChars="0"/>
              <w:jc w:val="center"/>
              <w:textAlignment w:val="center"/>
              <w:rPr>
                <w:rFonts w:hint="default" w:ascii="Times New Roman" w:hAnsi="Times New Roman" w:eastAsia="CESI宋体-GB2312" w:cs="Times New Roman"/>
                <w:i w:val="0"/>
                <w:iCs w:val="0"/>
                <w:color w:val="000000"/>
                <w:kern w:val="0"/>
                <w:sz w:val="21"/>
                <w:szCs w:val="21"/>
                <w:u w:val="none"/>
                <w:lang w:val="en-US" w:eastAsia="zh-CN" w:bidi="ar"/>
              </w:rPr>
            </w:pPr>
            <w:r>
              <w:rPr>
                <w:rFonts w:hint="default" w:ascii="Times New Roman" w:hAnsi="Times New Roman" w:eastAsia="CESI宋体-GB2312" w:cs="Times New Roman"/>
                <w:i w:val="0"/>
                <w:iCs w:val="0"/>
                <w:color w:val="000000"/>
                <w:kern w:val="0"/>
                <w:sz w:val="21"/>
                <w:szCs w:val="21"/>
                <w:u w:val="none"/>
                <w:lang w:val="en-US" w:eastAsia="zh-CN" w:bidi="ar"/>
              </w:rPr>
              <w:t>中国新型储能产业政策理论与实践分析</w:t>
            </w:r>
          </w:p>
        </w:tc>
        <w:tc>
          <w:tcPr>
            <w:tcW w:w="707" w:type="pct"/>
            <w:vMerge w:val="continue"/>
            <w:tcBorders>
              <w:tl2br w:val="nil"/>
              <w:tr2bl w:val="nil"/>
            </w:tcBorders>
            <w:noWrap/>
            <w:vAlign w:val="center"/>
          </w:tcPr>
          <w:p>
            <w:pPr>
              <w:widowControl/>
              <w:spacing w:line="240" w:lineRule="auto"/>
              <w:ind w:firstLine="0" w:firstLineChars="0"/>
              <w:jc w:val="center"/>
              <w:textAlignment w:val="center"/>
              <w:rPr>
                <w:rFonts w:hint="eastAsia" w:ascii="CESI宋体-GB2312" w:hAnsi="CESI宋体-GB2312" w:eastAsia="CESI宋体-GB2312" w:cs="CESI宋体-GB2312"/>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29" w:type="pct"/>
            <w:tcBorders>
              <w:tl2br w:val="nil"/>
              <w:tr2bl w:val="nil"/>
            </w:tcBorders>
            <w:noWrap w:val="0"/>
            <w:vAlign w:val="center"/>
          </w:tcPr>
          <w:p>
            <w:pPr>
              <w:pStyle w:val="30"/>
              <w:widowControl w:val="0"/>
              <w:spacing w:line="240" w:lineRule="auto"/>
              <w:rPr>
                <w:rFonts w:hint="default" w:eastAsia="宋体"/>
                <w:color w:val="000000"/>
                <w:szCs w:val="21"/>
                <w:lang w:eastAsia="zh-CN"/>
              </w:rPr>
            </w:pPr>
            <w:r>
              <w:rPr>
                <w:rFonts w:hint="default"/>
                <w:color w:val="000000"/>
                <w:szCs w:val="21"/>
                <w:lang w:val="en-US" w:eastAsia="zh-CN"/>
              </w:rPr>
              <w:t>6</w:t>
            </w:r>
          </w:p>
        </w:tc>
        <w:tc>
          <w:tcPr>
            <w:tcW w:w="1811" w:type="pct"/>
            <w:tcBorders>
              <w:tl2br w:val="nil"/>
              <w:tr2bl w:val="nil"/>
            </w:tcBorders>
            <w:noWrap/>
            <w:vAlign w:val="center"/>
          </w:tcPr>
          <w:p>
            <w:pPr>
              <w:widowControl/>
              <w:spacing w:line="240" w:lineRule="auto"/>
              <w:ind w:firstLine="0" w:firstLineChars="0"/>
              <w:jc w:val="center"/>
              <w:textAlignment w:val="center"/>
              <w:rPr>
                <w:rFonts w:hint="default" w:ascii="Times New Roman" w:hAnsi="Times New Roman" w:eastAsia="CESI宋体-GB2312" w:cs="Times New Roman"/>
                <w:i w:val="0"/>
                <w:iCs w:val="0"/>
                <w:color w:val="000000"/>
                <w:kern w:val="0"/>
                <w:sz w:val="21"/>
                <w:szCs w:val="21"/>
                <w:u w:val="none"/>
                <w:lang w:val="en-US" w:eastAsia="zh-CN" w:bidi="ar"/>
              </w:rPr>
            </w:pPr>
            <w:r>
              <w:rPr>
                <w:rFonts w:hint="default" w:ascii="Times New Roman" w:hAnsi="Times New Roman" w:eastAsia="CESI宋体-GB2312" w:cs="Times New Roman"/>
                <w:i w:val="0"/>
                <w:iCs w:val="0"/>
                <w:color w:val="000000"/>
                <w:kern w:val="0"/>
                <w:sz w:val="21"/>
                <w:szCs w:val="21"/>
                <w:u w:val="none"/>
                <w:lang w:val="en-US" w:eastAsia="zh-CN" w:bidi="ar"/>
              </w:rPr>
              <w:t>上海大学马克思主义学院</w:t>
            </w:r>
          </w:p>
          <w:p>
            <w:pPr>
              <w:widowControl/>
              <w:spacing w:line="240" w:lineRule="auto"/>
              <w:ind w:firstLine="0" w:firstLineChars="0"/>
              <w:jc w:val="center"/>
              <w:textAlignment w:val="center"/>
              <w:rPr>
                <w:rFonts w:ascii="Times New Roman" w:hAnsi="Times New Roman" w:cs="Times New Roman"/>
                <w:color w:val="000000"/>
                <w:szCs w:val="21"/>
              </w:rPr>
            </w:pPr>
            <w:r>
              <w:rPr>
                <w:rFonts w:hint="default" w:ascii="Times New Roman" w:hAnsi="Times New Roman" w:eastAsia="CESI宋体-GB2312" w:cs="Times New Roman"/>
                <w:i w:val="0"/>
                <w:iCs w:val="0"/>
                <w:color w:val="000000"/>
                <w:kern w:val="0"/>
                <w:sz w:val="21"/>
                <w:szCs w:val="21"/>
                <w:u w:val="none"/>
                <w:lang w:val="en-US" w:eastAsia="zh-CN" w:bidi="ar"/>
              </w:rPr>
              <w:t>研究生学术论坛</w:t>
            </w:r>
          </w:p>
        </w:tc>
        <w:tc>
          <w:tcPr>
            <w:tcW w:w="2051" w:type="pct"/>
            <w:tcBorders>
              <w:tl2br w:val="nil"/>
              <w:tr2bl w:val="nil"/>
            </w:tcBorders>
            <w:noWrap w:val="0"/>
            <w:vAlign w:val="center"/>
          </w:tcPr>
          <w:p>
            <w:pPr>
              <w:widowControl/>
              <w:spacing w:line="240" w:lineRule="auto"/>
              <w:ind w:firstLine="0" w:firstLineChars="0"/>
              <w:jc w:val="center"/>
              <w:textAlignment w:val="center"/>
              <w:rPr>
                <w:rFonts w:hint="default" w:ascii="Times New Roman" w:hAnsi="Times New Roman" w:eastAsia="CESI宋体-GB2312" w:cs="Times New Roman"/>
                <w:i w:val="0"/>
                <w:iCs w:val="0"/>
                <w:color w:val="000000"/>
                <w:kern w:val="0"/>
                <w:sz w:val="21"/>
                <w:szCs w:val="21"/>
                <w:u w:val="none"/>
                <w:lang w:val="en-US" w:eastAsia="zh-CN" w:bidi="ar"/>
              </w:rPr>
            </w:pPr>
            <w:r>
              <w:rPr>
                <w:rFonts w:hint="default" w:ascii="Times New Roman" w:hAnsi="Times New Roman" w:eastAsia="CESI宋体-GB2312" w:cs="Times New Roman"/>
                <w:i w:val="0"/>
                <w:iCs w:val="0"/>
                <w:color w:val="000000"/>
                <w:kern w:val="0"/>
                <w:sz w:val="21"/>
                <w:szCs w:val="21"/>
                <w:u w:val="none"/>
                <w:lang w:val="en-US" w:eastAsia="zh-CN" w:bidi="ar"/>
              </w:rPr>
              <w:t>建党初期中共党员训练的确立与</w:t>
            </w:r>
          </w:p>
          <w:p>
            <w:pPr>
              <w:widowControl/>
              <w:spacing w:line="240" w:lineRule="auto"/>
              <w:ind w:firstLine="0" w:firstLineChars="0"/>
              <w:jc w:val="center"/>
              <w:textAlignment w:val="center"/>
              <w:rPr>
                <w:rFonts w:ascii="Times New Roman" w:hAnsi="Times New Roman" w:cs="Times New Roman"/>
                <w:color w:val="000000"/>
                <w:szCs w:val="21"/>
              </w:rPr>
            </w:pPr>
            <w:r>
              <w:rPr>
                <w:rFonts w:hint="default" w:ascii="Times New Roman" w:hAnsi="Times New Roman" w:eastAsia="CESI宋体-GB2312" w:cs="Times New Roman"/>
                <w:i w:val="0"/>
                <w:iCs w:val="0"/>
                <w:color w:val="000000"/>
                <w:kern w:val="0"/>
                <w:sz w:val="21"/>
                <w:szCs w:val="21"/>
                <w:u w:val="none"/>
                <w:lang w:val="en-US" w:eastAsia="zh-CN" w:bidi="ar"/>
              </w:rPr>
              <w:t>探索</w:t>
            </w:r>
          </w:p>
        </w:tc>
        <w:tc>
          <w:tcPr>
            <w:tcW w:w="707" w:type="pct"/>
            <w:tcBorders>
              <w:tl2br w:val="nil"/>
              <w:tr2bl w:val="nil"/>
            </w:tcBorders>
            <w:noWrap/>
            <w:vAlign w:val="center"/>
          </w:tcPr>
          <w:p>
            <w:pPr>
              <w:widowControl/>
              <w:spacing w:line="240" w:lineRule="auto"/>
              <w:ind w:firstLine="0" w:firstLineChars="0"/>
              <w:jc w:val="center"/>
              <w:textAlignment w:val="center"/>
              <w:rPr>
                <w:rFonts w:ascii="宋体" w:hAnsi="宋体" w:cs="宋体"/>
                <w:color w:val="000000"/>
                <w:kern w:val="0"/>
                <w:sz w:val="21"/>
                <w:szCs w:val="21"/>
              </w:rPr>
            </w:pPr>
            <w:r>
              <w:rPr>
                <w:rFonts w:hint="eastAsia" w:ascii="CESI宋体-GB2312" w:hAnsi="CESI宋体-GB2312" w:eastAsia="CESI宋体-GB2312" w:cs="CESI宋体-GB2312"/>
                <w:i w:val="0"/>
                <w:iCs w:val="0"/>
                <w:color w:val="000000"/>
                <w:kern w:val="0"/>
                <w:sz w:val="21"/>
                <w:szCs w:val="21"/>
                <w:u w:val="none"/>
                <w:lang w:val="en-US" w:eastAsia="zh-CN" w:bidi="ar"/>
              </w:rPr>
              <w:t>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29" w:type="pct"/>
            <w:tcBorders>
              <w:tl2br w:val="nil"/>
              <w:tr2bl w:val="nil"/>
            </w:tcBorders>
            <w:noWrap w:val="0"/>
            <w:vAlign w:val="center"/>
          </w:tcPr>
          <w:p>
            <w:pPr>
              <w:pStyle w:val="30"/>
              <w:widowControl w:val="0"/>
              <w:spacing w:line="240" w:lineRule="auto"/>
              <w:rPr>
                <w:rFonts w:hint="default"/>
                <w:color w:val="000000"/>
                <w:szCs w:val="21"/>
                <w:lang w:val="en-US"/>
              </w:rPr>
            </w:pPr>
            <w:r>
              <w:rPr>
                <w:rFonts w:hint="default"/>
                <w:color w:val="000000"/>
                <w:szCs w:val="21"/>
                <w:lang w:val="en-US" w:eastAsia="zh-CN"/>
              </w:rPr>
              <w:t>7</w:t>
            </w:r>
          </w:p>
        </w:tc>
        <w:tc>
          <w:tcPr>
            <w:tcW w:w="1811" w:type="pct"/>
            <w:tcBorders>
              <w:tl2br w:val="nil"/>
              <w:tr2bl w:val="nil"/>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CESI宋体-GB2312" w:cs="Times New Roman"/>
                <w:i w:val="0"/>
                <w:iCs w:val="0"/>
                <w:color w:val="000000"/>
                <w:kern w:val="0"/>
                <w:sz w:val="21"/>
                <w:szCs w:val="21"/>
                <w:u w:val="none"/>
                <w:lang w:val="en-US" w:eastAsia="zh-CN" w:bidi="ar"/>
              </w:rPr>
            </w:pPr>
            <w:r>
              <w:rPr>
                <w:rFonts w:hint="default" w:ascii="Times New Roman" w:hAnsi="Times New Roman" w:eastAsia="CESI宋体-GB2312" w:cs="Times New Roman"/>
                <w:i w:val="0"/>
                <w:iCs w:val="0"/>
                <w:color w:val="000000"/>
                <w:kern w:val="0"/>
                <w:sz w:val="21"/>
                <w:szCs w:val="21"/>
                <w:u w:val="none"/>
                <w:lang w:val="en-US" w:eastAsia="zh-CN" w:bidi="ar"/>
              </w:rPr>
              <w:t>第五届</w:t>
            </w:r>
            <w:r>
              <w:rPr>
                <w:rFonts w:hint="eastAsia" w:eastAsia="CESI宋体-GB2312" w:cs="Times New Roman"/>
                <w:i w:val="0"/>
                <w:iCs w:val="0"/>
                <w:color w:val="000000"/>
                <w:kern w:val="0"/>
                <w:sz w:val="21"/>
                <w:szCs w:val="21"/>
                <w:u w:val="none"/>
                <w:lang w:val="en-US" w:eastAsia="zh-CN" w:bidi="ar"/>
              </w:rPr>
              <w:t>“</w:t>
            </w:r>
            <w:r>
              <w:rPr>
                <w:rFonts w:hint="default" w:ascii="Times New Roman" w:hAnsi="Times New Roman" w:eastAsia="CESI宋体-GB2312" w:cs="Times New Roman"/>
                <w:i w:val="0"/>
                <w:iCs w:val="0"/>
                <w:color w:val="000000"/>
                <w:kern w:val="0"/>
                <w:sz w:val="21"/>
                <w:szCs w:val="21"/>
                <w:u w:val="none"/>
                <w:lang w:val="en-US" w:eastAsia="zh-CN" w:bidi="ar"/>
              </w:rPr>
              <w:t>孙中山与近代中国</w:t>
            </w:r>
          </w:p>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color w:val="000000"/>
                <w:kern w:val="2"/>
                <w:sz w:val="24"/>
                <w:szCs w:val="21"/>
                <w:lang w:val="en-US" w:eastAsia="zh-CN" w:bidi="ar-SA"/>
              </w:rPr>
            </w:pPr>
            <w:r>
              <w:rPr>
                <w:rFonts w:hint="default" w:ascii="Times New Roman" w:hAnsi="Times New Roman" w:eastAsia="CESI宋体-GB2312" w:cs="Times New Roman"/>
                <w:i w:val="0"/>
                <w:iCs w:val="0"/>
                <w:color w:val="000000"/>
                <w:kern w:val="0"/>
                <w:sz w:val="21"/>
                <w:szCs w:val="21"/>
                <w:u w:val="none"/>
                <w:lang w:val="en-US" w:eastAsia="zh-CN" w:bidi="ar"/>
              </w:rPr>
              <w:t>研究</w:t>
            </w:r>
            <w:r>
              <w:rPr>
                <w:rFonts w:hint="eastAsia" w:eastAsia="CESI宋体-GB2312" w:cs="Times New Roman"/>
                <w:i w:val="0"/>
                <w:iCs w:val="0"/>
                <w:color w:val="000000"/>
                <w:kern w:val="0"/>
                <w:sz w:val="21"/>
                <w:szCs w:val="21"/>
                <w:u w:val="none"/>
                <w:lang w:val="en-US" w:eastAsia="zh-CN" w:bidi="ar"/>
              </w:rPr>
              <w:t>”</w:t>
            </w:r>
            <w:r>
              <w:rPr>
                <w:rFonts w:hint="default" w:ascii="Times New Roman" w:hAnsi="Times New Roman" w:eastAsia="CESI宋体-GB2312" w:cs="Times New Roman"/>
                <w:i w:val="0"/>
                <w:iCs w:val="0"/>
                <w:color w:val="000000"/>
                <w:kern w:val="0"/>
                <w:sz w:val="21"/>
                <w:szCs w:val="21"/>
                <w:u w:val="none"/>
                <w:lang w:val="en-US" w:eastAsia="zh-CN" w:bidi="ar"/>
              </w:rPr>
              <w:t>青年学术研讨会</w:t>
            </w:r>
          </w:p>
        </w:tc>
        <w:tc>
          <w:tcPr>
            <w:tcW w:w="2051" w:type="pct"/>
            <w:tcBorders>
              <w:tl2br w:val="nil"/>
              <w:tr2bl w:val="nil"/>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color w:val="000000"/>
                <w:kern w:val="2"/>
                <w:sz w:val="24"/>
                <w:szCs w:val="21"/>
                <w:lang w:val="en-US" w:eastAsia="zh-CN" w:bidi="ar-SA"/>
              </w:rPr>
            </w:pPr>
            <w:r>
              <w:rPr>
                <w:rFonts w:hint="default" w:ascii="Times New Roman" w:hAnsi="Times New Roman" w:eastAsia="CESI宋体-GB2312" w:cs="Times New Roman"/>
                <w:i w:val="0"/>
                <w:iCs w:val="0"/>
                <w:color w:val="000000"/>
                <w:kern w:val="0"/>
                <w:sz w:val="21"/>
                <w:szCs w:val="21"/>
                <w:u w:val="none"/>
                <w:lang w:val="en-US" w:eastAsia="zh-CN" w:bidi="ar"/>
              </w:rPr>
              <w:t>猎雀：晚近澳门葡人入粤狩猎研究（1894－1937）</w:t>
            </w:r>
          </w:p>
        </w:tc>
        <w:tc>
          <w:tcPr>
            <w:tcW w:w="707" w:type="pct"/>
            <w:tcBorders>
              <w:tl2br w:val="nil"/>
              <w:tr2bl w:val="nil"/>
            </w:tcBorders>
            <w:noWrap/>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color w:val="000000"/>
                <w:kern w:val="0"/>
                <w:sz w:val="21"/>
                <w:szCs w:val="21"/>
                <w:lang w:val="en-US" w:eastAsia="zh-CN" w:bidi="ar-SA"/>
              </w:rPr>
            </w:pPr>
            <w:r>
              <w:rPr>
                <w:rFonts w:hint="eastAsia" w:ascii="CESI宋体-GB2312" w:hAnsi="CESI宋体-GB2312" w:eastAsia="CESI宋体-GB2312" w:cs="CESI宋体-GB2312"/>
                <w:i w:val="0"/>
                <w:iCs w:val="0"/>
                <w:color w:val="000000"/>
                <w:kern w:val="0"/>
                <w:sz w:val="21"/>
                <w:szCs w:val="21"/>
                <w:u w:val="none"/>
                <w:lang w:val="en-US" w:eastAsia="zh-CN" w:bidi="ar"/>
              </w:rPr>
              <w:t>中山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29" w:type="pct"/>
            <w:tcBorders>
              <w:tl2br w:val="nil"/>
              <w:tr2bl w:val="nil"/>
            </w:tcBorders>
            <w:noWrap w:val="0"/>
            <w:vAlign w:val="center"/>
          </w:tcPr>
          <w:p>
            <w:pPr>
              <w:pStyle w:val="30"/>
              <w:widowControl w:val="0"/>
              <w:spacing w:line="240" w:lineRule="auto"/>
              <w:rPr>
                <w:rFonts w:hint="default" w:eastAsia="宋体"/>
                <w:color w:val="000000"/>
                <w:szCs w:val="21"/>
                <w:lang w:eastAsia="zh-CN"/>
              </w:rPr>
            </w:pPr>
            <w:r>
              <w:rPr>
                <w:rFonts w:hint="default"/>
                <w:color w:val="000000"/>
                <w:szCs w:val="21"/>
                <w:lang w:val="en-US" w:eastAsia="zh-CN"/>
              </w:rPr>
              <w:t>8</w:t>
            </w:r>
          </w:p>
        </w:tc>
        <w:tc>
          <w:tcPr>
            <w:tcW w:w="1811" w:type="pct"/>
            <w:vMerge w:val="restart"/>
            <w:tcBorders>
              <w:tl2br w:val="nil"/>
              <w:tr2bl w:val="nil"/>
            </w:tcBorders>
            <w:noWrap/>
            <w:vAlign w:val="center"/>
          </w:tcPr>
          <w:p>
            <w:pPr>
              <w:widowControl/>
              <w:spacing w:line="240" w:lineRule="auto"/>
              <w:ind w:firstLine="0" w:firstLineChars="0"/>
              <w:jc w:val="center"/>
              <w:textAlignment w:val="center"/>
              <w:rPr>
                <w:rFonts w:ascii="Times New Roman" w:hAnsi="Times New Roman" w:cs="Times New Roman"/>
                <w:color w:val="000000"/>
                <w:szCs w:val="21"/>
              </w:rPr>
            </w:pPr>
            <w:r>
              <w:rPr>
                <w:rFonts w:hint="default" w:ascii="Times New Roman" w:hAnsi="Times New Roman" w:eastAsia="CESI宋体-GB2312" w:cs="Times New Roman"/>
                <w:i w:val="0"/>
                <w:iCs w:val="0"/>
                <w:color w:val="000000"/>
                <w:kern w:val="0"/>
                <w:sz w:val="21"/>
                <w:szCs w:val="21"/>
                <w:u w:val="none"/>
                <w:lang w:val="en-US" w:eastAsia="zh-CN" w:bidi="ar"/>
              </w:rPr>
              <w:t>第六届</w:t>
            </w:r>
            <w:r>
              <w:rPr>
                <w:rFonts w:hint="eastAsia" w:eastAsia="CESI宋体-GB2312" w:cs="Times New Roman"/>
                <w:i w:val="0"/>
                <w:iCs w:val="0"/>
                <w:color w:val="000000"/>
                <w:kern w:val="0"/>
                <w:sz w:val="21"/>
                <w:szCs w:val="21"/>
                <w:u w:val="none"/>
                <w:lang w:val="en-US" w:eastAsia="zh-CN" w:bidi="ar"/>
              </w:rPr>
              <w:t>“</w:t>
            </w:r>
            <w:r>
              <w:rPr>
                <w:rFonts w:hint="default" w:ascii="Times New Roman" w:hAnsi="Times New Roman" w:eastAsia="CESI宋体-GB2312" w:cs="Times New Roman"/>
                <w:i w:val="0"/>
                <w:iCs w:val="0"/>
                <w:color w:val="000000"/>
                <w:kern w:val="0"/>
                <w:sz w:val="21"/>
                <w:szCs w:val="21"/>
                <w:u w:val="none"/>
                <w:lang w:val="en-US" w:eastAsia="zh-CN" w:bidi="ar"/>
              </w:rPr>
              <w:t>孙中山与近代中国研究</w:t>
            </w:r>
            <w:r>
              <w:rPr>
                <w:rFonts w:hint="eastAsia" w:eastAsia="CESI宋体-GB2312" w:cs="Times New Roman"/>
                <w:i w:val="0"/>
                <w:iCs w:val="0"/>
                <w:color w:val="000000"/>
                <w:kern w:val="0"/>
                <w:sz w:val="21"/>
                <w:szCs w:val="21"/>
                <w:u w:val="none"/>
                <w:lang w:val="en-US" w:eastAsia="zh-CN" w:bidi="ar"/>
              </w:rPr>
              <w:t>”</w:t>
            </w:r>
            <w:r>
              <w:rPr>
                <w:rFonts w:hint="default" w:ascii="Times New Roman" w:hAnsi="Times New Roman" w:eastAsia="CESI宋体-GB2312" w:cs="Times New Roman"/>
                <w:i w:val="0"/>
                <w:iCs w:val="0"/>
                <w:color w:val="000000"/>
                <w:kern w:val="0"/>
                <w:sz w:val="21"/>
                <w:szCs w:val="21"/>
                <w:u w:val="none"/>
                <w:lang w:val="en-US" w:eastAsia="zh-CN" w:bidi="ar"/>
              </w:rPr>
              <w:t>青年学术论坛</w:t>
            </w:r>
          </w:p>
        </w:tc>
        <w:tc>
          <w:tcPr>
            <w:tcW w:w="2051" w:type="pct"/>
            <w:tcBorders>
              <w:tl2br w:val="nil"/>
              <w:tr2bl w:val="nil"/>
            </w:tcBorders>
            <w:noWrap w:val="0"/>
            <w:vAlign w:val="center"/>
          </w:tcPr>
          <w:p>
            <w:pPr>
              <w:widowControl/>
              <w:spacing w:line="240" w:lineRule="auto"/>
              <w:ind w:firstLine="0" w:firstLineChars="0"/>
              <w:jc w:val="center"/>
              <w:textAlignment w:val="center"/>
              <w:rPr>
                <w:rFonts w:hint="default" w:ascii="Times New Roman" w:hAnsi="Times New Roman" w:eastAsia="CESI宋体-GB2312" w:cs="Times New Roman"/>
                <w:i w:val="0"/>
                <w:iCs w:val="0"/>
                <w:color w:val="000000"/>
                <w:kern w:val="0"/>
                <w:sz w:val="21"/>
                <w:szCs w:val="21"/>
                <w:u w:val="none"/>
                <w:lang w:val="en-US" w:eastAsia="zh-CN" w:bidi="ar"/>
              </w:rPr>
            </w:pPr>
            <w:r>
              <w:rPr>
                <w:rFonts w:hint="default" w:ascii="Times New Roman" w:hAnsi="Times New Roman" w:eastAsia="CESI宋体-GB2312" w:cs="Times New Roman"/>
                <w:i w:val="0"/>
                <w:iCs w:val="0"/>
                <w:color w:val="000000"/>
                <w:kern w:val="0"/>
                <w:sz w:val="21"/>
                <w:szCs w:val="21"/>
                <w:u w:val="none"/>
                <w:lang w:val="en-US" w:eastAsia="zh-CN" w:bidi="ar"/>
              </w:rPr>
              <w:t>大革命时期中共以支部为中心的</w:t>
            </w:r>
          </w:p>
          <w:p>
            <w:pPr>
              <w:widowControl/>
              <w:spacing w:line="240" w:lineRule="auto"/>
              <w:ind w:firstLine="0" w:firstLineChars="0"/>
              <w:jc w:val="center"/>
              <w:textAlignment w:val="center"/>
              <w:rPr>
                <w:rFonts w:ascii="Times New Roman" w:hAnsi="Times New Roman" w:cs="Times New Roman"/>
                <w:color w:val="000000"/>
                <w:szCs w:val="21"/>
              </w:rPr>
            </w:pPr>
            <w:r>
              <w:rPr>
                <w:rFonts w:hint="default" w:ascii="Times New Roman" w:hAnsi="Times New Roman" w:eastAsia="CESI宋体-GB2312" w:cs="Times New Roman"/>
                <w:i w:val="0"/>
                <w:iCs w:val="0"/>
                <w:color w:val="000000"/>
                <w:kern w:val="0"/>
                <w:sz w:val="21"/>
                <w:szCs w:val="21"/>
                <w:u w:val="none"/>
                <w:lang w:val="en-US" w:eastAsia="zh-CN" w:bidi="ar"/>
              </w:rPr>
              <w:t>党员训练研究</w:t>
            </w:r>
          </w:p>
        </w:tc>
        <w:tc>
          <w:tcPr>
            <w:tcW w:w="707" w:type="pct"/>
            <w:vMerge w:val="restart"/>
            <w:tcBorders>
              <w:tl2br w:val="nil"/>
              <w:tr2bl w:val="nil"/>
            </w:tcBorders>
            <w:noWrap/>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color w:val="000000"/>
                <w:kern w:val="0"/>
                <w:sz w:val="21"/>
                <w:szCs w:val="21"/>
                <w:lang w:val="en-US" w:eastAsia="zh-CN" w:bidi="ar-SA"/>
              </w:rPr>
            </w:pPr>
            <w:r>
              <w:rPr>
                <w:rFonts w:hint="eastAsia" w:ascii="CESI宋体-GB2312" w:hAnsi="CESI宋体-GB2312" w:eastAsia="CESI宋体-GB2312" w:cs="CESI宋体-GB2312"/>
                <w:i w:val="0"/>
                <w:iCs w:val="0"/>
                <w:color w:val="000000"/>
                <w:kern w:val="0"/>
                <w:sz w:val="21"/>
                <w:szCs w:val="21"/>
                <w:u w:val="none"/>
                <w:lang w:val="en-US" w:eastAsia="zh-CN" w:bidi="ar"/>
              </w:rPr>
              <w:t>广州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29" w:type="pct"/>
            <w:tcBorders>
              <w:tl2br w:val="nil"/>
              <w:tr2bl w:val="nil"/>
            </w:tcBorders>
            <w:noWrap w:val="0"/>
            <w:vAlign w:val="center"/>
          </w:tcPr>
          <w:p>
            <w:pPr>
              <w:pStyle w:val="30"/>
              <w:widowControl w:val="0"/>
              <w:spacing w:line="240" w:lineRule="auto"/>
              <w:rPr>
                <w:rFonts w:hint="default" w:eastAsia="宋体"/>
                <w:color w:val="000000"/>
                <w:szCs w:val="21"/>
                <w:lang w:val="en-US" w:eastAsia="zh-CN"/>
              </w:rPr>
            </w:pPr>
            <w:r>
              <w:rPr>
                <w:rFonts w:hint="default"/>
                <w:color w:val="000000"/>
                <w:szCs w:val="21"/>
                <w:lang w:val="en-US" w:eastAsia="zh-CN"/>
              </w:rPr>
              <w:t>9</w:t>
            </w:r>
          </w:p>
        </w:tc>
        <w:tc>
          <w:tcPr>
            <w:tcW w:w="1811" w:type="pct"/>
            <w:vMerge w:val="continue"/>
            <w:tcBorders>
              <w:tl2br w:val="nil"/>
              <w:tr2bl w:val="nil"/>
            </w:tcBorders>
            <w:noWrap/>
            <w:vAlign w:val="center"/>
          </w:tcPr>
          <w:p>
            <w:pPr>
              <w:widowControl/>
              <w:spacing w:line="240" w:lineRule="auto"/>
              <w:ind w:firstLine="0" w:firstLineChars="0"/>
              <w:jc w:val="center"/>
              <w:textAlignment w:val="center"/>
              <w:rPr>
                <w:rFonts w:hint="default" w:ascii="Times New Roman" w:hAnsi="Times New Roman" w:eastAsia="CESI宋体-GB2312" w:cs="Times New Roman"/>
                <w:i w:val="0"/>
                <w:iCs w:val="0"/>
                <w:color w:val="000000"/>
                <w:kern w:val="0"/>
                <w:sz w:val="21"/>
                <w:szCs w:val="21"/>
                <w:u w:val="none"/>
                <w:lang w:val="en-US" w:eastAsia="zh-CN" w:bidi="ar"/>
              </w:rPr>
            </w:pPr>
          </w:p>
        </w:tc>
        <w:tc>
          <w:tcPr>
            <w:tcW w:w="2051" w:type="pct"/>
            <w:tcBorders>
              <w:tl2br w:val="nil"/>
              <w:tr2bl w:val="nil"/>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CESI宋体-GB2312" w:cs="Times New Roman"/>
                <w:i w:val="0"/>
                <w:iCs w:val="0"/>
                <w:color w:val="000000"/>
                <w:kern w:val="0"/>
                <w:sz w:val="21"/>
                <w:szCs w:val="21"/>
                <w:u w:val="none"/>
                <w:lang w:val="en-US" w:eastAsia="zh-CN" w:bidi="ar"/>
              </w:rPr>
            </w:pPr>
            <w:r>
              <w:rPr>
                <w:rFonts w:hint="default" w:ascii="Times New Roman" w:hAnsi="Times New Roman" w:eastAsia="CESI宋体-GB2312" w:cs="Times New Roman"/>
                <w:i w:val="0"/>
                <w:iCs w:val="0"/>
                <w:color w:val="000000"/>
                <w:kern w:val="0"/>
                <w:sz w:val="21"/>
                <w:szCs w:val="21"/>
                <w:u w:val="none"/>
                <w:lang w:val="en-US" w:eastAsia="zh-CN" w:bidi="ar"/>
              </w:rPr>
              <w:t>1920年代广州霍乱考察——</w:t>
            </w:r>
          </w:p>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color w:val="000000"/>
                <w:kern w:val="2"/>
                <w:sz w:val="24"/>
                <w:szCs w:val="21"/>
                <w:lang w:val="en-US" w:eastAsia="zh-CN" w:bidi="ar-SA"/>
              </w:rPr>
            </w:pPr>
            <w:r>
              <w:rPr>
                <w:rFonts w:hint="default" w:ascii="Times New Roman" w:hAnsi="Times New Roman" w:eastAsia="CESI宋体-GB2312" w:cs="Times New Roman"/>
                <w:i w:val="0"/>
                <w:iCs w:val="0"/>
                <w:color w:val="000000"/>
                <w:kern w:val="0"/>
                <w:sz w:val="21"/>
                <w:szCs w:val="21"/>
                <w:u w:val="none"/>
                <w:lang w:val="en-US" w:eastAsia="zh-CN" w:bidi="ar"/>
              </w:rPr>
              <w:t>以广州市政府的疫病预防为中心</w:t>
            </w:r>
          </w:p>
        </w:tc>
        <w:tc>
          <w:tcPr>
            <w:tcW w:w="707" w:type="pct"/>
            <w:vMerge w:val="continue"/>
            <w:tcBorders>
              <w:tl2br w:val="nil"/>
              <w:tr2bl w:val="nil"/>
            </w:tcBorders>
            <w:noWrap/>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29" w:type="pct"/>
            <w:tcBorders>
              <w:tl2br w:val="nil"/>
              <w:tr2bl w:val="nil"/>
            </w:tcBorders>
            <w:noWrap w:val="0"/>
            <w:vAlign w:val="center"/>
          </w:tcPr>
          <w:p>
            <w:pPr>
              <w:pStyle w:val="30"/>
              <w:widowControl w:val="0"/>
              <w:spacing w:line="240" w:lineRule="auto"/>
              <w:rPr>
                <w:rFonts w:hint="default"/>
                <w:color w:val="000000"/>
                <w:szCs w:val="21"/>
                <w:lang w:val="en-US" w:eastAsia="zh-CN"/>
              </w:rPr>
            </w:pPr>
            <w:r>
              <w:rPr>
                <w:rFonts w:hint="default"/>
                <w:color w:val="000000"/>
                <w:szCs w:val="21"/>
                <w:lang w:val="en-US" w:eastAsia="zh-CN"/>
              </w:rPr>
              <w:t>10</w:t>
            </w:r>
          </w:p>
        </w:tc>
        <w:tc>
          <w:tcPr>
            <w:tcW w:w="1811" w:type="pct"/>
            <w:tcBorders>
              <w:tl2br w:val="nil"/>
              <w:tr2bl w:val="nil"/>
            </w:tcBorders>
            <w:noWrap/>
            <w:vAlign w:val="center"/>
          </w:tcPr>
          <w:p>
            <w:pPr>
              <w:widowControl/>
              <w:spacing w:line="240" w:lineRule="auto"/>
              <w:ind w:firstLine="0" w:firstLineChars="0"/>
              <w:jc w:val="center"/>
              <w:textAlignment w:val="center"/>
              <w:rPr>
                <w:rFonts w:hint="default" w:eastAsia="CESI宋体-GB2312"/>
                <w:color w:val="000000"/>
                <w:kern w:val="0"/>
                <w:sz w:val="21"/>
                <w:szCs w:val="21"/>
                <w:u w:val="none"/>
                <w:lang w:bidi="ar"/>
              </w:rPr>
            </w:pPr>
            <w:r>
              <w:rPr>
                <w:rFonts w:hint="default" w:eastAsia="CESI宋体-GB2312"/>
                <w:color w:val="000000"/>
                <w:kern w:val="0"/>
                <w:sz w:val="21"/>
                <w:szCs w:val="21"/>
                <w:u w:val="none"/>
                <w:lang w:bidi="ar"/>
              </w:rPr>
              <w:t>第六届海洋史研究青年学者</w:t>
            </w:r>
          </w:p>
          <w:p>
            <w:pPr>
              <w:widowControl/>
              <w:spacing w:line="240" w:lineRule="auto"/>
              <w:ind w:firstLine="0" w:firstLineChars="0"/>
              <w:jc w:val="center"/>
              <w:textAlignment w:val="center"/>
              <w:rPr>
                <w:rFonts w:hint="default" w:ascii="Times New Roman" w:hAnsi="Times New Roman" w:eastAsia="CESI宋体-GB2312" w:cs="Times New Roman"/>
                <w:i w:val="0"/>
                <w:iCs w:val="0"/>
                <w:color w:val="000000"/>
                <w:kern w:val="0"/>
                <w:sz w:val="21"/>
                <w:szCs w:val="21"/>
                <w:u w:val="none"/>
                <w:lang w:val="en-US" w:eastAsia="zh-CN" w:bidi="ar"/>
              </w:rPr>
            </w:pPr>
            <w:r>
              <w:rPr>
                <w:rFonts w:hint="default" w:eastAsia="CESI宋体-GB2312"/>
                <w:color w:val="000000"/>
                <w:kern w:val="0"/>
                <w:sz w:val="21"/>
                <w:szCs w:val="21"/>
                <w:u w:val="none"/>
                <w:lang w:bidi="ar"/>
              </w:rPr>
              <w:t>论坛</w:t>
            </w:r>
          </w:p>
        </w:tc>
        <w:tc>
          <w:tcPr>
            <w:tcW w:w="2051" w:type="pct"/>
            <w:tcBorders>
              <w:tl2br w:val="nil"/>
              <w:tr2bl w:val="nil"/>
            </w:tcBorders>
            <w:noWrap w:val="0"/>
            <w:vAlign w:val="center"/>
          </w:tcPr>
          <w:p>
            <w:pPr>
              <w:widowControl/>
              <w:spacing w:line="240" w:lineRule="auto"/>
              <w:ind w:firstLine="0" w:firstLineChars="0"/>
              <w:jc w:val="center"/>
              <w:textAlignment w:val="center"/>
              <w:rPr>
                <w:rFonts w:hint="default" w:ascii="Times New Roman" w:hAnsi="Times New Roman" w:eastAsia="CESI宋体-GB2312" w:cs="Times New Roman"/>
                <w:i w:val="0"/>
                <w:iCs w:val="0"/>
                <w:color w:val="000000"/>
                <w:kern w:val="0"/>
                <w:sz w:val="21"/>
                <w:szCs w:val="21"/>
                <w:u w:val="none"/>
                <w:lang w:val="en-US" w:eastAsia="zh-CN" w:bidi="ar"/>
              </w:rPr>
            </w:pPr>
            <w:r>
              <w:rPr>
                <w:rFonts w:hint="default" w:ascii="Times New Roman" w:hAnsi="Times New Roman" w:eastAsia="CESI宋体-GB2312" w:cs="Times New Roman"/>
                <w:i w:val="0"/>
                <w:iCs w:val="0"/>
                <w:color w:val="000000"/>
                <w:kern w:val="0"/>
                <w:sz w:val="21"/>
                <w:szCs w:val="21"/>
                <w:u w:val="none"/>
                <w:lang w:val="en-US" w:eastAsia="zh-CN" w:bidi="ar"/>
              </w:rPr>
              <w:t>张保仔座船</w:t>
            </w:r>
            <w:r>
              <w:rPr>
                <w:rFonts w:hint="eastAsia" w:eastAsia="CESI宋体-GB2312" w:cs="Times New Roman"/>
                <w:i w:val="0"/>
                <w:iCs w:val="0"/>
                <w:color w:val="000000"/>
                <w:kern w:val="0"/>
                <w:sz w:val="21"/>
                <w:szCs w:val="21"/>
                <w:u w:val="none"/>
                <w:lang w:val="en-US" w:eastAsia="zh-CN" w:bidi="ar"/>
              </w:rPr>
              <w:t>“</w:t>
            </w:r>
            <w:r>
              <w:rPr>
                <w:rFonts w:hint="default" w:ascii="Times New Roman" w:hAnsi="Times New Roman" w:eastAsia="CESI宋体-GB2312" w:cs="Times New Roman"/>
                <w:i w:val="0"/>
                <w:iCs w:val="0"/>
                <w:color w:val="000000"/>
                <w:kern w:val="0"/>
                <w:sz w:val="21"/>
                <w:szCs w:val="21"/>
                <w:u w:val="none"/>
                <w:lang w:val="en-US" w:eastAsia="zh-CN" w:bidi="ar"/>
              </w:rPr>
              <w:t>鹏发号</w:t>
            </w:r>
            <w:r>
              <w:rPr>
                <w:rFonts w:hint="eastAsia" w:eastAsia="CESI宋体-GB2312" w:cs="Times New Roman"/>
                <w:i w:val="0"/>
                <w:iCs w:val="0"/>
                <w:color w:val="000000"/>
                <w:kern w:val="0"/>
                <w:sz w:val="21"/>
                <w:szCs w:val="21"/>
                <w:u w:val="none"/>
                <w:lang w:val="en-US" w:eastAsia="zh-CN" w:bidi="ar"/>
              </w:rPr>
              <w:t>”</w:t>
            </w:r>
            <w:r>
              <w:rPr>
                <w:rFonts w:hint="default" w:ascii="Times New Roman" w:hAnsi="Times New Roman" w:eastAsia="CESI宋体-GB2312" w:cs="Times New Roman"/>
                <w:i w:val="0"/>
                <w:iCs w:val="0"/>
                <w:color w:val="000000"/>
                <w:kern w:val="0"/>
                <w:sz w:val="21"/>
                <w:szCs w:val="21"/>
                <w:u w:val="none"/>
                <w:lang w:val="en-US" w:eastAsia="zh-CN" w:bidi="ar"/>
              </w:rPr>
              <w:t>与嘉庆年间</w:t>
            </w:r>
          </w:p>
          <w:p>
            <w:pPr>
              <w:widowControl/>
              <w:spacing w:line="240" w:lineRule="auto"/>
              <w:ind w:firstLine="0" w:firstLineChars="0"/>
              <w:jc w:val="center"/>
              <w:textAlignment w:val="center"/>
              <w:rPr>
                <w:rFonts w:hint="default" w:ascii="Times New Roman" w:hAnsi="Times New Roman" w:eastAsia="CESI宋体-GB2312" w:cs="Times New Roman"/>
                <w:i w:val="0"/>
                <w:iCs w:val="0"/>
                <w:color w:val="000000"/>
                <w:kern w:val="0"/>
                <w:sz w:val="21"/>
                <w:szCs w:val="21"/>
                <w:u w:val="none"/>
                <w:lang w:val="en-US" w:eastAsia="zh-CN" w:bidi="ar"/>
              </w:rPr>
            </w:pPr>
            <w:r>
              <w:rPr>
                <w:rFonts w:hint="default" w:ascii="Times New Roman" w:hAnsi="Times New Roman" w:eastAsia="CESI宋体-GB2312" w:cs="Times New Roman"/>
                <w:i w:val="0"/>
                <w:iCs w:val="0"/>
                <w:color w:val="000000"/>
                <w:kern w:val="0"/>
                <w:sz w:val="21"/>
                <w:szCs w:val="21"/>
                <w:u w:val="none"/>
                <w:lang w:val="en-US" w:eastAsia="zh-CN" w:bidi="ar"/>
              </w:rPr>
              <w:t>华南海船武装研究</w:t>
            </w:r>
          </w:p>
        </w:tc>
        <w:tc>
          <w:tcPr>
            <w:tcW w:w="707" w:type="pct"/>
            <w:tcBorders>
              <w:tl2br w:val="nil"/>
              <w:tr2bl w:val="nil"/>
            </w:tcBorders>
            <w:noWrap/>
            <w:vAlign w:val="center"/>
          </w:tcPr>
          <w:p>
            <w:pPr>
              <w:widowControl/>
              <w:spacing w:line="240" w:lineRule="auto"/>
              <w:ind w:firstLine="0" w:firstLineChars="0"/>
              <w:jc w:val="center"/>
              <w:textAlignment w:val="center"/>
              <w:rPr>
                <w:rFonts w:hint="eastAsia" w:ascii="CESI宋体-GB2312" w:hAnsi="CESI宋体-GB2312" w:eastAsia="CESI宋体-GB2312" w:cs="CESI宋体-GB2312"/>
                <w:i w:val="0"/>
                <w:iCs w:val="0"/>
                <w:color w:val="000000"/>
                <w:kern w:val="0"/>
                <w:sz w:val="21"/>
                <w:szCs w:val="21"/>
                <w:u w:val="none"/>
                <w:lang w:val="en-US" w:eastAsia="zh-CN" w:bidi="ar"/>
              </w:rPr>
            </w:pPr>
            <w:r>
              <w:rPr>
                <w:rFonts w:hint="eastAsia" w:ascii="CESI宋体-GB2312" w:hAnsi="CESI宋体-GB2312" w:eastAsia="CESI宋体-GB2312" w:cs="CESI宋体-GB2312"/>
                <w:i w:val="0"/>
                <w:iCs w:val="0"/>
                <w:color w:val="000000"/>
                <w:kern w:val="0"/>
                <w:sz w:val="21"/>
                <w:szCs w:val="21"/>
                <w:u w:val="none"/>
                <w:lang w:val="en-US" w:eastAsia="zh-CN" w:bidi="ar"/>
              </w:rPr>
              <w:t>珠海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29" w:type="pct"/>
            <w:tcBorders>
              <w:tl2br w:val="nil"/>
              <w:tr2bl w:val="nil"/>
            </w:tcBorders>
            <w:noWrap w:val="0"/>
            <w:vAlign w:val="center"/>
          </w:tcPr>
          <w:p>
            <w:pPr>
              <w:pStyle w:val="30"/>
              <w:widowControl w:val="0"/>
              <w:spacing w:line="240" w:lineRule="auto"/>
              <w:rPr>
                <w:rFonts w:hint="default" w:eastAsia="宋体"/>
                <w:color w:val="000000"/>
                <w:szCs w:val="21"/>
                <w:lang w:eastAsia="zh-CN"/>
              </w:rPr>
            </w:pPr>
            <w:r>
              <w:rPr>
                <w:rFonts w:hint="eastAsia"/>
                <w:color w:val="000000"/>
                <w:szCs w:val="21"/>
                <w:lang w:val="en-US" w:eastAsia="zh-CN"/>
              </w:rPr>
              <w:t>11</w:t>
            </w:r>
          </w:p>
        </w:tc>
        <w:tc>
          <w:tcPr>
            <w:tcW w:w="1811" w:type="pct"/>
            <w:tcBorders>
              <w:tl2br w:val="nil"/>
              <w:tr2bl w:val="nil"/>
            </w:tcBorders>
            <w:noWrap/>
            <w:vAlign w:val="center"/>
          </w:tcPr>
          <w:p>
            <w:pPr>
              <w:widowControl/>
              <w:spacing w:line="240" w:lineRule="auto"/>
              <w:ind w:firstLine="0" w:firstLineChars="0"/>
              <w:jc w:val="center"/>
              <w:textAlignment w:val="center"/>
              <w:rPr>
                <w:rFonts w:ascii="Times New Roman" w:hAnsi="Times New Roman" w:cs="Times New Roman"/>
                <w:color w:val="000000"/>
                <w:szCs w:val="21"/>
              </w:rPr>
            </w:pPr>
            <w:r>
              <w:rPr>
                <w:rFonts w:hint="default" w:ascii="Times New Roman" w:hAnsi="Times New Roman" w:eastAsia="CESI宋体-GB2312" w:cs="Times New Roman"/>
                <w:i w:val="0"/>
                <w:iCs w:val="0"/>
                <w:color w:val="000000"/>
                <w:kern w:val="0"/>
                <w:sz w:val="21"/>
                <w:szCs w:val="21"/>
                <w:u w:val="none"/>
                <w:lang w:val="en-US" w:eastAsia="zh-CN" w:bidi="ar"/>
              </w:rPr>
              <w:t>2023广东社会科学学术年会</w:t>
            </w:r>
            <w:r>
              <w:rPr>
                <w:rFonts w:hint="eastAsia" w:ascii="Times New Roman" w:hAnsi="Times New Roman" w:eastAsia="CESI宋体-GB2312" w:cs="Times New Roman"/>
                <w:i w:val="0"/>
                <w:iCs w:val="0"/>
                <w:color w:val="000000"/>
                <w:kern w:val="0"/>
                <w:sz w:val="21"/>
                <w:szCs w:val="21"/>
                <w:u w:val="none"/>
                <w:lang w:val="en-US" w:eastAsia="zh-CN" w:bidi="ar"/>
              </w:rPr>
              <w:t>“</w:t>
            </w:r>
            <w:r>
              <w:rPr>
                <w:rFonts w:hint="default" w:ascii="Times New Roman" w:hAnsi="Times New Roman" w:eastAsia="CESI宋体-GB2312" w:cs="Times New Roman"/>
                <w:i w:val="0"/>
                <w:iCs w:val="0"/>
                <w:color w:val="000000"/>
                <w:kern w:val="0"/>
                <w:sz w:val="21"/>
                <w:szCs w:val="21"/>
                <w:u w:val="none"/>
                <w:lang w:val="en-US" w:eastAsia="zh-CN" w:bidi="ar"/>
              </w:rPr>
              <w:t>广东省现代乡村产业体系高质量发展</w:t>
            </w:r>
            <w:r>
              <w:rPr>
                <w:rFonts w:hint="eastAsia" w:ascii="Times New Roman" w:hAnsi="Times New Roman" w:eastAsia="CESI宋体-GB2312" w:cs="Times New Roman"/>
                <w:i w:val="0"/>
                <w:iCs w:val="0"/>
                <w:color w:val="000000"/>
                <w:kern w:val="0"/>
                <w:sz w:val="21"/>
                <w:szCs w:val="21"/>
                <w:u w:val="none"/>
                <w:lang w:val="en-US" w:eastAsia="zh-CN" w:bidi="ar"/>
              </w:rPr>
              <w:t>”</w:t>
            </w:r>
            <w:r>
              <w:rPr>
                <w:rFonts w:hint="default" w:ascii="Times New Roman" w:hAnsi="Times New Roman" w:eastAsia="CESI宋体-GB2312" w:cs="Times New Roman"/>
                <w:i w:val="0"/>
                <w:iCs w:val="0"/>
                <w:color w:val="000000"/>
                <w:kern w:val="0"/>
                <w:sz w:val="21"/>
                <w:szCs w:val="21"/>
                <w:u w:val="none"/>
                <w:lang w:val="en-US" w:eastAsia="zh-CN" w:bidi="ar"/>
              </w:rPr>
              <w:t>分会</w:t>
            </w:r>
          </w:p>
        </w:tc>
        <w:tc>
          <w:tcPr>
            <w:tcW w:w="2051" w:type="pct"/>
            <w:tcBorders>
              <w:tl2br w:val="nil"/>
              <w:tr2bl w:val="nil"/>
            </w:tcBorders>
            <w:noWrap w:val="0"/>
            <w:vAlign w:val="center"/>
          </w:tcPr>
          <w:p>
            <w:pPr>
              <w:widowControl/>
              <w:spacing w:line="240" w:lineRule="auto"/>
              <w:ind w:firstLine="0" w:firstLineChars="0"/>
              <w:jc w:val="center"/>
              <w:textAlignment w:val="center"/>
              <w:rPr>
                <w:rFonts w:hint="default" w:ascii="Times New Roman" w:hAnsi="Times New Roman" w:eastAsia="CESI宋体-GB2312" w:cs="Times New Roman"/>
                <w:i w:val="0"/>
                <w:iCs w:val="0"/>
                <w:color w:val="000000"/>
                <w:kern w:val="0"/>
                <w:sz w:val="21"/>
                <w:szCs w:val="21"/>
                <w:u w:val="none"/>
                <w:lang w:val="en-US" w:eastAsia="zh-CN" w:bidi="ar"/>
              </w:rPr>
            </w:pPr>
            <w:r>
              <w:rPr>
                <w:rFonts w:hint="default" w:ascii="Times New Roman" w:hAnsi="Times New Roman" w:eastAsia="CESI宋体-GB2312" w:cs="Times New Roman"/>
                <w:i w:val="0"/>
                <w:iCs w:val="0"/>
                <w:color w:val="000000"/>
                <w:kern w:val="0"/>
                <w:sz w:val="21"/>
                <w:szCs w:val="21"/>
                <w:u w:val="none"/>
                <w:lang w:val="en-US" w:eastAsia="zh-CN" w:bidi="ar"/>
              </w:rPr>
              <w:t>农业转移人口市民化的经济效应——基于二元结构DSGE模型的</w:t>
            </w:r>
          </w:p>
          <w:p>
            <w:pPr>
              <w:widowControl/>
              <w:spacing w:line="240" w:lineRule="auto"/>
              <w:ind w:firstLine="0" w:firstLineChars="0"/>
              <w:jc w:val="center"/>
              <w:textAlignment w:val="center"/>
              <w:rPr>
                <w:rFonts w:ascii="Times New Roman" w:hAnsi="Times New Roman" w:cs="Times New Roman"/>
                <w:color w:val="000000"/>
                <w:szCs w:val="21"/>
              </w:rPr>
            </w:pPr>
            <w:r>
              <w:rPr>
                <w:rFonts w:hint="default" w:ascii="Times New Roman" w:hAnsi="Times New Roman" w:eastAsia="CESI宋体-GB2312" w:cs="Times New Roman"/>
                <w:i w:val="0"/>
                <w:iCs w:val="0"/>
                <w:color w:val="000000"/>
                <w:kern w:val="0"/>
                <w:sz w:val="21"/>
                <w:szCs w:val="21"/>
                <w:u w:val="none"/>
                <w:lang w:val="en-US" w:eastAsia="zh-CN" w:bidi="ar"/>
              </w:rPr>
              <w:t>估计与模拟</w:t>
            </w:r>
          </w:p>
        </w:tc>
        <w:tc>
          <w:tcPr>
            <w:tcW w:w="707" w:type="pct"/>
            <w:tcBorders>
              <w:tl2br w:val="nil"/>
              <w:tr2bl w:val="nil"/>
            </w:tcBorders>
            <w:noWrap/>
            <w:vAlign w:val="center"/>
          </w:tcPr>
          <w:p>
            <w:pPr>
              <w:widowControl/>
              <w:spacing w:line="240" w:lineRule="auto"/>
              <w:ind w:firstLine="0" w:firstLineChars="0"/>
              <w:jc w:val="center"/>
              <w:textAlignment w:val="center"/>
              <w:rPr>
                <w:rFonts w:hint="eastAsia" w:ascii="宋体" w:hAnsi="宋体" w:eastAsia="宋体" w:cs="宋体"/>
                <w:color w:val="000000"/>
                <w:kern w:val="0"/>
                <w:sz w:val="21"/>
                <w:szCs w:val="21"/>
                <w:lang w:eastAsia="zh-CN"/>
              </w:rPr>
            </w:pPr>
            <w:r>
              <w:rPr>
                <w:rFonts w:hint="eastAsia" w:ascii="CESI宋体-GB2312" w:hAnsi="CESI宋体-GB2312" w:eastAsia="CESI宋体-GB2312" w:cs="CESI宋体-GB2312"/>
                <w:i w:val="0"/>
                <w:iCs w:val="0"/>
                <w:color w:val="000000"/>
                <w:kern w:val="0"/>
                <w:sz w:val="21"/>
                <w:szCs w:val="21"/>
                <w:u w:val="none"/>
                <w:lang w:val="en-US" w:eastAsia="zh-CN" w:bidi="ar"/>
              </w:rPr>
              <w:t>广州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29" w:type="pct"/>
            <w:tcBorders>
              <w:tl2br w:val="nil"/>
              <w:tr2bl w:val="nil"/>
            </w:tcBorders>
            <w:noWrap w:val="0"/>
            <w:vAlign w:val="center"/>
          </w:tcPr>
          <w:p>
            <w:pPr>
              <w:pStyle w:val="30"/>
              <w:widowControl w:val="0"/>
              <w:spacing w:line="240" w:lineRule="auto"/>
              <w:rPr>
                <w:rFonts w:hint="default"/>
                <w:color w:val="000000"/>
                <w:szCs w:val="21"/>
                <w:lang w:val="en-US" w:eastAsia="zh-CN"/>
              </w:rPr>
            </w:pPr>
            <w:r>
              <w:rPr>
                <w:rFonts w:hint="eastAsia"/>
                <w:color w:val="000000"/>
                <w:szCs w:val="21"/>
                <w:lang w:val="en-US" w:eastAsia="zh-CN"/>
              </w:rPr>
              <w:t>12</w:t>
            </w:r>
          </w:p>
        </w:tc>
        <w:tc>
          <w:tcPr>
            <w:tcW w:w="1811" w:type="pct"/>
            <w:tcBorders>
              <w:tl2br w:val="nil"/>
              <w:tr2bl w:val="nil"/>
            </w:tcBorders>
            <w:noWrap/>
            <w:vAlign w:val="center"/>
          </w:tcPr>
          <w:p>
            <w:pPr>
              <w:widowControl/>
              <w:spacing w:line="240" w:lineRule="auto"/>
              <w:ind w:firstLine="0" w:firstLineChars="0"/>
              <w:jc w:val="center"/>
              <w:textAlignment w:val="center"/>
              <w:rPr>
                <w:rFonts w:hint="default" w:ascii="Times New Roman" w:hAnsi="Times New Roman" w:eastAsia="CESI宋体-GB2312" w:cs="Times New Roman"/>
                <w:i w:val="0"/>
                <w:iCs w:val="0"/>
                <w:color w:val="000000"/>
                <w:kern w:val="0"/>
                <w:sz w:val="21"/>
                <w:szCs w:val="21"/>
                <w:u w:val="none"/>
                <w:lang w:val="en-US" w:eastAsia="zh-CN" w:bidi="ar"/>
              </w:rPr>
            </w:pPr>
            <w:r>
              <w:rPr>
                <w:rFonts w:hint="default" w:ascii="Times New Roman" w:hAnsi="Times New Roman" w:eastAsia="CESI宋体-GB2312" w:cs="Times New Roman"/>
                <w:i w:val="0"/>
                <w:iCs w:val="0"/>
                <w:color w:val="000000"/>
                <w:kern w:val="0"/>
                <w:sz w:val="21"/>
                <w:szCs w:val="21"/>
                <w:u w:val="none"/>
                <w:lang w:val="en-US" w:eastAsia="zh-CN" w:bidi="ar"/>
              </w:rPr>
              <w:t>生态文明天府论坛·建设人与自然和谐共生的美丽中国学术</w:t>
            </w:r>
          </w:p>
          <w:p>
            <w:pPr>
              <w:widowControl/>
              <w:spacing w:line="240" w:lineRule="auto"/>
              <w:ind w:firstLine="0" w:firstLineChars="0"/>
              <w:jc w:val="center"/>
              <w:textAlignment w:val="center"/>
              <w:rPr>
                <w:rFonts w:hint="default" w:ascii="Times New Roman" w:hAnsi="Times New Roman" w:eastAsia="CESI宋体-GB2312" w:cs="Times New Roman"/>
                <w:i w:val="0"/>
                <w:iCs w:val="0"/>
                <w:color w:val="000000"/>
                <w:kern w:val="0"/>
                <w:sz w:val="21"/>
                <w:szCs w:val="21"/>
                <w:u w:val="none"/>
                <w:lang w:val="en-US" w:eastAsia="zh-CN" w:bidi="ar"/>
              </w:rPr>
            </w:pPr>
            <w:r>
              <w:rPr>
                <w:rFonts w:hint="default" w:ascii="Times New Roman" w:hAnsi="Times New Roman" w:eastAsia="CESI宋体-GB2312" w:cs="Times New Roman"/>
                <w:i w:val="0"/>
                <w:iCs w:val="0"/>
                <w:color w:val="000000"/>
                <w:kern w:val="0"/>
                <w:sz w:val="21"/>
                <w:szCs w:val="21"/>
                <w:u w:val="none"/>
                <w:lang w:val="en-US" w:eastAsia="zh-CN" w:bidi="ar"/>
              </w:rPr>
              <w:t>研讨会</w:t>
            </w:r>
          </w:p>
        </w:tc>
        <w:tc>
          <w:tcPr>
            <w:tcW w:w="2051" w:type="pct"/>
            <w:tcBorders>
              <w:tl2br w:val="nil"/>
              <w:tr2bl w:val="nil"/>
            </w:tcBorders>
            <w:noWrap w:val="0"/>
            <w:vAlign w:val="center"/>
          </w:tcPr>
          <w:p>
            <w:pPr>
              <w:widowControl/>
              <w:spacing w:line="240" w:lineRule="auto"/>
              <w:ind w:firstLine="0" w:firstLineChars="0"/>
              <w:jc w:val="center"/>
              <w:textAlignment w:val="center"/>
              <w:rPr>
                <w:rFonts w:hint="default" w:ascii="Times New Roman" w:hAnsi="Times New Roman" w:eastAsia="CESI宋体-GB2312" w:cs="Times New Roman"/>
                <w:i w:val="0"/>
                <w:iCs w:val="0"/>
                <w:color w:val="000000"/>
                <w:kern w:val="0"/>
                <w:sz w:val="21"/>
                <w:szCs w:val="21"/>
                <w:u w:val="none"/>
                <w:lang w:val="en-US" w:eastAsia="zh-CN" w:bidi="ar"/>
              </w:rPr>
            </w:pPr>
            <w:r>
              <w:rPr>
                <w:rFonts w:hint="eastAsia" w:eastAsia="CESI宋体-GB2312" w:cs="Times New Roman"/>
                <w:i w:val="0"/>
                <w:iCs w:val="0"/>
                <w:color w:val="000000"/>
                <w:kern w:val="0"/>
                <w:sz w:val="21"/>
                <w:szCs w:val="21"/>
                <w:u w:val="none"/>
                <w:lang w:val="en-US" w:eastAsia="zh-CN" w:bidi="ar"/>
              </w:rPr>
              <w:t>“</w:t>
            </w:r>
            <w:r>
              <w:rPr>
                <w:rFonts w:hint="default" w:ascii="Times New Roman" w:hAnsi="Times New Roman" w:eastAsia="CESI宋体-GB2312" w:cs="Times New Roman"/>
                <w:i w:val="0"/>
                <w:iCs w:val="0"/>
                <w:color w:val="000000"/>
                <w:kern w:val="0"/>
                <w:sz w:val="21"/>
                <w:szCs w:val="21"/>
                <w:u w:val="none"/>
                <w:lang w:val="en-US" w:eastAsia="zh-CN" w:bidi="ar"/>
              </w:rPr>
              <w:t>两山理论</w:t>
            </w:r>
            <w:r>
              <w:rPr>
                <w:rFonts w:hint="eastAsia" w:eastAsia="CESI宋体-GB2312" w:cs="Times New Roman"/>
                <w:i w:val="0"/>
                <w:iCs w:val="0"/>
                <w:color w:val="000000"/>
                <w:kern w:val="0"/>
                <w:sz w:val="21"/>
                <w:szCs w:val="21"/>
                <w:u w:val="none"/>
                <w:lang w:val="en-US" w:eastAsia="zh-CN" w:bidi="ar"/>
              </w:rPr>
              <w:t>”</w:t>
            </w:r>
            <w:r>
              <w:rPr>
                <w:rFonts w:hint="default" w:ascii="Times New Roman" w:hAnsi="Times New Roman" w:eastAsia="CESI宋体-GB2312" w:cs="Times New Roman"/>
                <w:i w:val="0"/>
                <w:iCs w:val="0"/>
                <w:color w:val="000000"/>
                <w:kern w:val="0"/>
                <w:sz w:val="21"/>
                <w:szCs w:val="21"/>
                <w:u w:val="none"/>
                <w:lang w:val="en-US" w:eastAsia="zh-CN" w:bidi="ar"/>
              </w:rPr>
              <w:t>与森林</w:t>
            </w:r>
            <w:r>
              <w:rPr>
                <w:rFonts w:hint="eastAsia" w:eastAsia="CESI宋体-GB2312" w:cs="Times New Roman"/>
                <w:i w:val="0"/>
                <w:iCs w:val="0"/>
                <w:color w:val="000000"/>
                <w:kern w:val="0"/>
                <w:sz w:val="21"/>
                <w:szCs w:val="21"/>
                <w:u w:val="none"/>
                <w:lang w:val="en-US" w:eastAsia="zh-CN" w:bidi="ar"/>
              </w:rPr>
              <w:t>“</w:t>
            </w:r>
            <w:r>
              <w:rPr>
                <w:rFonts w:hint="default" w:ascii="Times New Roman" w:hAnsi="Times New Roman" w:eastAsia="CESI宋体-GB2312" w:cs="Times New Roman"/>
                <w:i w:val="0"/>
                <w:iCs w:val="0"/>
                <w:color w:val="000000"/>
                <w:kern w:val="0"/>
                <w:sz w:val="21"/>
                <w:szCs w:val="21"/>
                <w:u w:val="none"/>
                <w:lang w:val="en-US" w:eastAsia="zh-CN" w:bidi="ar"/>
              </w:rPr>
              <w:t>四库</w:t>
            </w:r>
            <w:r>
              <w:rPr>
                <w:rFonts w:hint="eastAsia" w:eastAsia="CESI宋体-GB2312" w:cs="Times New Roman"/>
                <w:i w:val="0"/>
                <w:iCs w:val="0"/>
                <w:color w:val="000000"/>
                <w:kern w:val="0"/>
                <w:sz w:val="21"/>
                <w:szCs w:val="21"/>
                <w:u w:val="none"/>
                <w:lang w:val="en-US" w:eastAsia="zh-CN" w:bidi="ar"/>
              </w:rPr>
              <w:t>”</w:t>
            </w:r>
            <w:r>
              <w:rPr>
                <w:rFonts w:hint="default" w:ascii="Times New Roman" w:hAnsi="Times New Roman" w:eastAsia="CESI宋体-GB2312" w:cs="Times New Roman"/>
                <w:i w:val="0"/>
                <w:iCs w:val="0"/>
                <w:color w:val="000000"/>
                <w:kern w:val="0"/>
                <w:sz w:val="21"/>
                <w:szCs w:val="21"/>
                <w:u w:val="none"/>
                <w:lang w:val="en-US" w:eastAsia="zh-CN" w:bidi="ar"/>
              </w:rPr>
              <w:t>的辩证关系——兼论南岭国家公园高质量发展</w:t>
            </w:r>
          </w:p>
        </w:tc>
        <w:tc>
          <w:tcPr>
            <w:tcW w:w="707" w:type="pct"/>
            <w:tcBorders>
              <w:tl2br w:val="nil"/>
              <w:tr2bl w:val="nil"/>
            </w:tcBorders>
            <w:noWrap/>
            <w:vAlign w:val="center"/>
          </w:tcPr>
          <w:p>
            <w:pPr>
              <w:widowControl/>
              <w:spacing w:line="240" w:lineRule="auto"/>
              <w:ind w:firstLine="0" w:firstLineChars="0"/>
              <w:jc w:val="center"/>
              <w:textAlignment w:val="center"/>
              <w:rPr>
                <w:rFonts w:hint="eastAsia" w:ascii="CESI宋体-GB2312" w:hAnsi="CESI宋体-GB2312" w:eastAsia="CESI宋体-GB2312" w:cs="CESI宋体-GB2312"/>
                <w:i w:val="0"/>
                <w:iCs w:val="0"/>
                <w:color w:val="000000"/>
                <w:kern w:val="0"/>
                <w:sz w:val="21"/>
                <w:szCs w:val="21"/>
                <w:u w:val="none"/>
                <w:lang w:val="en-US" w:eastAsia="zh-CN" w:bidi="ar"/>
              </w:rPr>
            </w:pPr>
            <w:r>
              <w:rPr>
                <w:rFonts w:hint="eastAsia" w:ascii="CESI宋体-GB2312" w:hAnsi="CESI宋体-GB2312" w:eastAsia="CESI宋体-GB2312" w:cs="CESI宋体-GB2312"/>
                <w:i w:val="0"/>
                <w:iCs w:val="0"/>
                <w:color w:val="000000"/>
                <w:kern w:val="0"/>
                <w:sz w:val="21"/>
                <w:szCs w:val="21"/>
                <w:u w:val="none"/>
                <w:lang w:val="en-US" w:eastAsia="zh-CN" w:bidi="ar"/>
              </w:rPr>
              <w:t>四川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29" w:type="pct"/>
            <w:tcBorders>
              <w:tl2br w:val="nil"/>
              <w:tr2bl w:val="nil"/>
            </w:tcBorders>
            <w:noWrap w:val="0"/>
            <w:vAlign w:val="center"/>
          </w:tcPr>
          <w:p>
            <w:pPr>
              <w:pStyle w:val="30"/>
              <w:widowControl w:val="0"/>
              <w:spacing w:line="240" w:lineRule="auto"/>
              <w:rPr>
                <w:rFonts w:hint="default"/>
                <w:color w:val="000000"/>
                <w:szCs w:val="21"/>
                <w:lang w:val="en-US" w:eastAsia="zh-CN"/>
              </w:rPr>
            </w:pPr>
            <w:r>
              <w:rPr>
                <w:rFonts w:hint="eastAsia"/>
                <w:color w:val="000000"/>
                <w:szCs w:val="21"/>
                <w:lang w:val="en-US" w:eastAsia="zh-CN"/>
              </w:rPr>
              <w:t>13</w:t>
            </w:r>
          </w:p>
        </w:tc>
        <w:tc>
          <w:tcPr>
            <w:tcW w:w="1811" w:type="pct"/>
            <w:tcBorders>
              <w:tl2br w:val="nil"/>
              <w:tr2bl w:val="nil"/>
            </w:tcBorders>
            <w:noWrap/>
            <w:vAlign w:val="center"/>
          </w:tcPr>
          <w:p>
            <w:pPr>
              <w:widowControl/>
              <w:spacing w:line="240" w:lineRule="auto"/>
              <w:ind w:firstLine="0" w:firstLineChars="0"/>
              <w:jc w:val="center"/>
              <w:textAlignment w:val="center"/>
              <w:rPr>
                <w:rFonts w:hint="default" w:ascii="Times New Roman" w:hAnsi="Times New Roman" w:eastAsia="CESI宋体-GB2312" w:cs="Times New Roman"/>
                <w:i w:val="0"/>
                <w:iCs w:val="0"/>
                <w:color w:val="000000"/>
                <w:kern w:val="0"/>
                <w:sz w:val="21"/>
                <w:szCs w:val="21"/>
                <w:u w:val="none"/>
                <w:lang w:val="en-US" w:eastAsia="zh-CN" w:bidi="ar"/>
              </w:rPr>
            </w:pPr>
            <w:r>
              <w:rPr>
                <w:rFonts w:hint="default" w:ascii="Times New Roman" w:hAnsi="Times New Roman" w:eastAsia="CESI宋体-GB2312" w:cs="Times New Roman"/>
                <w:i w:val="0"/>
                <w:iCs w:val="0"/>
                <w:color w:val="000000"/>
                <w:kern w:val="0"/>
                <w:sz w:val="21"/>
                <w:szCs w:val="21"/>
                <w:u w:val="none"/>
                <w:lang w:val="en-US" w:eastAsia="zh-CN" w:bidi="ar"/>
              </w:rPr>
              <w:t>第十二届《粤澳合作框架协议》与澳门特区法律问题前瞻学术研讨会</w:t>
            </w:r>
          </w:p>
        </w:tc>
        <w:tc>
          <w:tcPr>
            <w:tcW w:w="2051" w:type="pct"/>
            <w:tcBorders>
              <w:tl2br w:val="nil"/>
              <w:tr2bl w:val="nil"/>
            </w:tcBorders>
            <w:noWrap w:val="0"/>
            <w:vAlign w:val="center"/>
          </w:tcPr>
          <w:p>
            <w:pPr>
              <w:widowControl/>
              <w:spacing w:line="240" w:lineRule="auto"/>
              <w:ind w:firstLine="0" w:firstLineChars="0"/>
              <w:jc w:val="center"/>
              <w:textAlignment w:val="center"/>
              <w:rPr>
                <w:rFonts w:hint="default" w:ascii="Times New Roman" w:hAnsi="Times New Roman" w:eastAsia="CESI宋体-GB2312" w:cs="Times New Roman"/>
                <w:i w:val="0"/>
                <w:iCs w:val="0"/>
                <w:color w:val="000000"/>
                <w:kern w:val="0"/>
                <w:sz w:val="21"/>
                <w:szCs w:val="21"/>
                <w:u w:val="none"/>
                <w:lang w:val="en-US" w:eastAsia="zh-CN" w:bidi="ar"/>
              </w:rPr>
            </w:pPr>
            <w:r>
              <w:rPr>
                <w:rFonts w:hint="default" w:ascii="Times New Roman" w:hAnsi="Times New Roman" w:eastAsia="CESI宋体-GB2312" w:cs="Times New Roman"/>
                <w:i w:val="0"/>
                <w:iCs w:val="0"/>
                <w:color w:val="000000"/>
                <w:kern w:val="0"/>
                <w:sz w:val="21"/>
                <w:szCs w:val="21"/>
                <w:u w:val="none"/>
                <w:lang w:val="en-US" w:eastAsia="zh-CN" w:bidi="ar"/>
              </w:rPr>
              <w:t>粤港澳大湾区的制度创新与治理</w:t>
            </w:r>
          </w:p>
          <w:p>
            <w:pPr>
              <w:widowControl/>
              <w:spacing w:line="240" w:lineRule="auto"/>
              <w:ind w:firstLine="0" w:firstLineChars="0"/>
              <w:jc w:val="center"/>
              <w:textAlignment w:val="center"/>
              <w:rPr>
                <w:rFonts w:hint="default" w:ascii="Times New Roman" w:hAnsi="Times New Roman" w:eastAsia="CESI宋体-GB2312" w:cs="Times New Roman"/>
                <w:i w:val="0"/>
                <w:iCs w:val="0"/>
                <w:color w:val="000000"/>
                <w:kern w:val="0"/>
                <w:sz w:val="21"/>
                <w:szCs w:val="21"/>
                <w:u w:val="none"/>
                <w:lang w:val="en-US" w:eastAsia="zh-CN" w:bidi="ar"/>
              </w:rPr>
            </w:pPr>
            <w:r>
              <w:rPr>
                <w:rFonts w:hint="default" w:ascii="Times New Roman" w:hAnsi="Times New Roman" w:eastAsia="CESI宋体-GB2312" w:cs="Times New Roman"/>
                <w:i w:val="0"/>
                <w:iCs w:val="0"/>
                <w:color w:val="000000"/>
                <w:kern w:val="0"/>
                <w:sz w:val="21"/>
                <w:szCs w:val="21"/>
                <w:u w:val="none"/>
                <w:lang w:val="en-US" w:eastAsia="zh-CN" w:bidi="ar"/>
              </w:rPr>
              <w:t>能力现代化建设</w:t>
            </w:r>
          </w:p>
        </w:tc>
        <w:tc>
          <w:tcPr>
            <w:tcW w:w="707" w:type="pct"/>
            <w:tcBorders>
              <w:tl2br w:val="nil"/>
              <w:tr2bl w:val="nil"/>
            </w:tcBorders>
            <w:noWrap/>
            <w:vAlign w:val="center"/>
          </w:tcPr>
          <w:p>
            <w:pPr>
              <w:widowControl/>
              <w:spacing w:line="240" w:lineRule="auto"/>
              <w:ind w:firstLine="0" w:firstLineChars="0"/>
              <w:jc w:val="center"/>
              <w:textAlignment w:val="center"/>
              <w:rPr>
                <w:rFonts w:hint="default" w:ascii="CESI宋体-GB2312" w:hAnsi="CESI宋体-GB2312" w:eastAsia="CESI宋体-GB2312" w:cs="CESI宋体-GB2312"/>
                <w:i w:val="0"/>
                <w:iCs w:val="0"/>
                <w:color w:val="000000"/>
                <w:kern w:val="0"/>
                <w:sz w:val="21"/>
                <w:szCs w:val="21"/>
                <w:u w:val="none"/>
                <w:lang w:val="en-US" w:eastAsia="zh-CN" w:bidi="ar"/>
              </w:rPr>
            </w:pPr>
            <w:r>
              <w:rPr>
                <w:rFonts w:hint="eastAsia" w:ascii="CESI宋体-GB2312" w:hAnsi="CESI宋体-GB2312" w:eastAsia="CESI宋体-GB2312" w:cs="CESI宋体-GB2312"/>
                <w:i w:val="0"/>
                <w:iCs w:val="0"/>
                <w:color w:val="000000"/>
                <w:kern w:val="0"/>
                <w:sz w:val="21"/>
                <w:szCs w:val="21"/>
                <w:u w:val="none"/>
                <w:lang w:val="en-US" w:eastAsia="zh-CN" w:bidi="ar"/>
              </w:rPr>
              <w:t>澳门</w:t>
            </w:r>
          </w:p>
        </w:tc>
      </w:tr>
    </w:tbl>
    <w:p>
      <w:pPr>
        <w:spacing w:line="240" w:lineRule="auto"/>
        <w:ind w:firstLine="0"/>
        <w:rPr>
          <w:rFonts w:hint="eastAsia"/>
        </w:rPr>
      </w:pPr>
    </w:p>
    <w:p>
      <w:pPr>
        <w:pStyle w:val="4"/>
        <w:keepNext w:val="0"/>
        <w:keepLines w:val="0"/>
        <w:widowControl w:val="0"/>
        <w:ind w:firstLine="602" w:firstLineChars="200"/>
        <w:rPr>
          <w:rFonts w:hint="eastAsia"/>
        </w:rPr>
      </w:pPr>
      <w:bookmarkStart w:id="134" w:name="_Toc67497686"/>
      <w:bookmarkStart w:id="135" w:name="_Toc12406"/>
      <w:bookmarkStart w:id="136" w:name="_Toc67497723"/>
      <w:bookmarkStart w:id="137" w:name="_Toc7988"/>
      <w:bookmarkStart w:id="138" w:name="_Toc9909"/>
      <w:bookmarkStart w:id="139" w:name="_Toc19138"/>
      <w:bookmarkStart w:id="140" w:name="_Toc127791875"/>
      <w:bookmarkStart w:id="141" w:name="_Toc24577"/>
      <w:r>
        <w:rPr>
          <w:rFonts w:hint="eastAsia"/>
        </w:rPr>
        <w:t>（五）</w:t>
      </w:r>
      <w:bookmarkEnd w:id="134"/>
      <w:bookmarkEnd w:id="135"/>
      <w:bookmarkEnd w:id="136"/>
      <w:r>
        <w:rPr>
          <w:rFonts w:hint="eastAsia"/>
        </w:rPr>
        <w:t>研究生奖助情况</w:t>
      </w:r>
      <w:bookmarkEnd w:id="137"/>
      <w:bookmarkEnd w:id="138"/>
      <w:bookmarkEnd w:id="139"/>
      <w:bookmarkEnd w:id="140"/>
      <w:bookmarkEnd w:id="141"/>
    </w:p>
    <w:p>
      <w:pPr>
        <w:ind w:firstLine="480"/>
        <w:rPr>
          <w:rFonts w:hint="eastAsia"/>
        </w:rPr>
      </w:pPr>
      <w:r>
        <w:rPr>
          <w:rFonts w:hint="eastAsia"/>
        </w:rPr>
        <w:t>我院</w:t>
      </w:r>
      <w:r>
        <w:rPr>
          <w:rFonts w:hint="eastAsia"/>
          <w:lang w:eastAsia="zh-CN"/>
        </w:rPr>
        <w:t>建有较为完善的</w:t>
      </w:r>
      <w:r>
        <w:rPr>
          <w:rFonts w:hint="eastAsia"/>
        </w:rPr>
        <w:t>研究生奖助体系，即奖学金、荣誉奖励和助学金。目前，研究生奖助学体系制度化、体系化基本建成，评审规范科学有序。</w:t>
      </w:r>
    </w:p>
    <w:p>
      <w:pPr>
        <w:ind w:firstLine="480"/>
        <w:rPr>
          <w:rFonts w:hint="eastAsia"/>
        </w:rPr>
      </w:pPr>
      <w:r>
        <w:rPr>
          <w:rFonts w:hint="eastAsia"/>
        </w:rPr>
        <w:t>奖学金分为学业奖学金和国家奖学金。学业奖学金要求符合条件的研究生100%覆盖，实际覆盖面超过98%；设立一等奖、二等奖、三等奖共计三个档次，奖励标准分别为10000元、6000元和4000元。国家奖学金额度每名奖金2万元，每年</w:t>
      </w:r>
      <w:r>
        <w:rPr>
          <w:rFonts w:hint="eastAsia"/>
          <w:lang w:eastAsia="zh-CN"/>
        </w:rPr>
        <w:t>遴选</w:t>
      </w:r>
      <w:r>
        <w:rPr>
          <w:rFonts w:hint="eastAsia"/>
        </w:rPr>
        <w:t>2名优秀研究生申请国家奖学金</w:t>
      </w:r>
      <w:r>
        <w:rPr>
          <w:rFonts w:hint="eastAsia"/>
          <w:lang w:eastAsia="zh-CN"/>
        </w:rPr>
        <w:t>。近年来，我院不断完善两类奖学金评选办法，确保评选公平公正公开。</w:t>
      </w:r>
    </w:p>
    <w:p>
      <w:pPr>
        <w:ind w:firstLine="480"/>
        <w:rPr>
          <w:rFonts w:hint="eastAsia"/>
        </w:rPr>
      </w:pPr>
      <w:r>
        <w:rPr>
          <w:rFonts w:hint="eastAsia"/>
        </w:rPr>
        <w:t>荣誉奖励包括研究生荣誉称号和研究生优秀成果奖。研究生荣誉称号指二、三年级可以参评优秀研究生、优秀学生干部和优秀学生党员。优秀研究生按各年级学生总数的30%评选，优秀学生干部按学生干部总数的50%评选，优秀学生党员按各年级党员（不包括预备党员）总数的5%评选；每生每年300元，获得的荣誉称号和奖励可以叠加。研究生优秀成果奖包括院级优秀学位论文奖、广东省优秀学位论文奖、广东省优秀研究生奖和考取博士奖，分别奖励1000元/人、3000元/人、3000元/人和1000元/人。对于培养研究生获得成果奖的导师同样给予培养奖荣誉，并发放等额奖金，评选依据详见《关于设置“硕士学位论文抽检优秀奖”等奖项的暂行办法》。</w:t>
      </w:r>
    </w:p>
    <w:p>
      <w:pPr>
        <w:ind w:firstLine="480"/>
        <w:rPr>
          <w:rFonts w:hint="eastAsia" w:eastAsia="宋体"/>
          <w:lang w:eastAsia="zh-CN"/>
        </w:rPr>
      </w:pPr>
      <w:r>
        <w:rPr>
          <w:rFonts w:hint="eastAsia"/>
        </w:rPr>
        <w:t>研究生助学金</w:t>
      </w:r>
      <w:r>
        <w:t>根据</w:t>
      </w:r>
      <w:r>
        <w:rPr>
          <w:rFonts w:hint="eastAsia"/>
        </w:rPr>
        <w:t>2013年财政部和教育部印发的《研究生国家助学金管理暂行办法》（财教〔201</w:t>
      </w:r>
      <w:r>
        <w:rPr>
          <w:rFonts w:hint="eastAsia"/>
          <w:lang w:val="en-US" w:eastAsia="zh-CN"/>
        </w:rPr>
        <w:t>3</w:t>
      </w:r>
      <w:r>
        <w:rPr>
          <w:rFonts w:hint="eastAsia"/>
        </w:rPr>
        <w:t>〕220号），我院对取得广东省社会科学院学籍的所有全日制在校研究生，采取助学金全覆盖。标准为每生每月900元，发放12个月。</w:t>
      </w:r>
    </w:p>
    <w:p>
      <w:pPr>
        <w:pStyle w:val="6"/>
        <w:keepNext w:val="0"/>
        <w:keepLines w:val="0"/>
        <w:spacing w:before="95" w:beforeLines="30" w:after="157" w:afterLines="50" w:line="240" w:lineRule="auto"/>
        <w:rPr>
          <w:rFonts w:hint="eastAsia"/>
          <w:b/>
          <w:bCs w:val="0"/>
          <w:highlight w:val="yellow"/>
        </w:rPr>
      </w:pPr>
      <w:bookmarkStart w:id="142" w:name="_Toc5082"/>
      <w:r>
        <w:rPr>
          <w:rFonts w:hint="default" w:ascii="Times New Roman" w:hAnsi="Times New Roman"/>
          <w:b/>
          <w:bCs w:val="0"/>
        </w:rPr>
        <w:t>表</w:t>
      </w:r>
      <w:r>
        <w:rPr>
          <w:rFonts w:hint="default" w:ascii="Times New Roman" w:hAnsi="Times New Roman"/>
          <w:b/>
          <w:bCs w:val="0"/>
        </w:rPr>
        <w:fldChar w:fldCharType="begin"/>
      </w:r>
      <w:r>
        <w:rPr>
          <w:rFonts w:hint="default" w:ascii="Times New Roman" w:hAnsi="Times New Roman"/>
          <w:b/>
          <w:bCs w:val="0"/>
        </w:rPr>
        <w:instrText xml:space="preserve"> SEQ 表 \* ARABIC </w:instrText>
      </w:r>
      <w:r>
        <w:rPr>
          <w:rFonts w:hint="default" w:ascii="Times New Roman" w:hAnsi="Times New Roman"/>
          <w:b/>
          <w:bCs w:val="0"/>
        </w:rPr>
        <w:fldChar w:fldCharType="separate"/>
      </w:r>
      <w:r>
        <w:rPr>
          <w:rFonts w:ascii="Times New Roman" w:hAnsi="Times New Roman"/>
          <w:b/>
          <w:bCs w:val="0"/>
        </w:rPr>
        <w:t>1</w:t>
      </w:r>
      <w:r>
        <w:rPr>
          <w:rFonts w:hint="default" w:ascii="Times New Roman" w:hAnsi="Times New Roman"/>
          <w:b/>
          <w:bCs w:val="0"/>
        </w:rPr>
        <w:fldChar w:fldCharType="end"/>
      </w:r>
      <w:r>
        <w:rPr>
          <w:rFonts w:hint="eastAsia" w:ascii="Times New Roman" w:hAnsi="Times New Roman"/>
          <w:b/>
          <w:bCs w:val="0"/>
          <w:lang w:val="en-US" w:eastAsia="zh-CN"/>
        </w:rPr>
        <w:t>4</w:t>
      </w:r>
      <w:r>
        <w:rPr>
          <w:rFonts w:hint="default" w:ascii="Times New Roman" w:hAnsi="Times New Roman"/>
          <w:b/>
          <w:bCs w:val="0"/>
          <w:highlight w:val="none"/>
        </w:rPr>
        <w:t xml:space="preserve">  202</w:t>
      </w:r>
      <w:r>
        <w:rPr>
          <w:rFonts w:hint="eastAsia" w:ascii="Times New Roman" w:hAnsi="Times New Roman"/>
          <w:b/>
          <w:bCs w:val="0"/>
          <w:highlight w:val="none"/>
          <w:lang w:eastAsia="zh-CN"/>
        </w:rPr>
        <w:t>3</w:t>
      </w:r>
      <w:r>
        <w:rPr>
          <w:rFonts w:hint="default" w:ascii="Times New Roman" w:hAnsi="Times New Roman"/>
          <w:b/>
          <w:bCs w:val="0"/>
          <w:highlight w:val="none"/>
        </w:rPr>
        <w:t>年研究生奖助学金情况</w:t>
      </w:r>
      <w:bookmarkEnd w:id="142"/>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2160"/>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8" w:type="dxa"/>
            <w:gridSpan w:val="2"/>
            <w:noWrap w:val="0"/>
            <w:vAlign w:val="center"/>
          </w:tcPr>
          <w:p>
            <w:pPr>
              <w:pStyle w:val="30"/>
              <w:widowControl w:val="0"/>
              <w:spacing w:line="240" w:lineRule="auto"/>
            </w:pPr>
            <w:r>
              <w:t>类别</w:t>
            </w:r>
          </w:p>
        </w:tc>
        <w:tc>
          <w:tcPr>
            <w:tcW w:w="1704" w:type="dxa"/>
            <w:noWrap w:val="0"/>
            <w:vAlign w:val="center"/>
          </w:tcPr>
          <w:p>
            <w:pPr>
              <w:pStyle w:val="30"/>
              <w:widowControl w:val="0"/>
              <w:spacing w:line="240" w:lineRule="auto"/>
            </w:pPr>
            <w:r>
              <w:t>金额（元）</w:t>
            </w:r>
          </w:p>
        </w:tc>
        <w:tc>
          <w:tcPr>
            <w:tcW w:w="1705" w:type="dxa"/>
            <w:noWrap w:val="0"/>
            <w:vAlign w:val="center"/>
          </w:tcPr>
          <w:p>
            <w:pPr>
              <w:pStyle w:val="30"/>
              <w:widowControl w:val="0"/>
              <w:spacing w:line="240" w:lineRule="auto"/>
            </w:pPr>
            <w:r>
              <w:t>人次</w:t>
            </w:r>
          </w:p>
        </w:tc>
        <w:tc>
          <w:tcPr>
            <w:tcW w:w="1705" w:type="dxa"/>
            <w:noWrap w:val="0"/>
            <w:vAlign w:val="center"/>
          </w:tcPr>
          <w:p>
            <w:pPr>
              <w:pStyle w:val="30"/>
              <w:widowControl w:val="0"/>
              <w:spacing w:line="240" w:lineRule="auto"/>
            </w:pPr>
            <w: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vMerge w:val="restart"/>
            <w:noWrap w:val="0"/>
            <w:vAlign w:val="center"/>
          </w:tcPr>
          <w:p>
            <w:pPr>
              <w:pStyle w:val="30"/>
              <w:widowControl w:val="0"/>
              <w:spacing w:line="240" w:lineRule="auto"/>
            </w:pPr>
            <w:r>
              <w:t>奖学金</w:t>
            </w:r>
          </w:p>
        </w:tc>
        <w:tc>
          <w:tcPr>
            <w:tcW w:w="2160" w:type="dxa"/>
            <w:noWrap w:val="0"/>
            <w:vAlign w:val="center"/>
          </w:tcPr>
          <w:p>
            <w:pPr>
              <w:pStyle w:val="30"/>
              <w:widowControl w:val="0"/>
              <w:spacing w:line="240" w:lineRule="auto"/>
            </w:pPr>
            <w:r>
              <w:t>国家奖学金</w:t>
            </w:r>
          </w:p>
        </w:tc>
        <w:tc>
          <w:tcPr>
            <w:tcW w:w="1704" w:type="dxa"/>
            <w:noWrap w:val="0"/>
            <w:vAlign w:val="center"/>
          </w:tcPr>
          <w:p>
            <w:pPr>
              <w:pStyle w:val="30"/>
              <w:widowControl w:val="0"/>
              <w:spacing w:line="240" w:lineRule="auto"/>
            </w:pPr>
            <w:r>
              <w:t>20000</w:t>
            </w:r>
          </w:p>
        </w:tc>
        <w:tc>
          <w:tcPr>
            <w:tcW w:w="1705" w:type="dxa"/>
            <w:noWrap w:val="0"/>
            <w:vAlign w:val="center"/>
          </w:tcPr>
          <w:p>
            <w:pPr>
              <w:pStyle w:val="30"/>
              <w:widowControl w:val="0"/>
              <w:spacing w:line="240" w:lineRule="auto"/>
            </w:pPr>
            <w:r>
              <w:t>2</w:t>
            </w:r>
          </w:p>
        </w:tc>
        <w:tc>
          <w:tcPr>
            <w:tcW w:w="1705" w:type="dxa"/>
            <w:noWrap w:val="0"/>
            <w:vAlign w:val="center"/>
          </w:tcPr>
          <w:p>
            <w:pPr>
              <w:pStyle w:val="30"/>
              <w:widowControl w:val="0"/>
              <w:spacing w:line="240" w:lineRule="auto"/>
            </w:pPr>
            <w: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vMerge w:val="continue"/>
            <w:noWrap w:val="0"/>
            <w:vAlign w:val="center"/>
          </w:tcPr>
          <w:p>
            <w:pPr>
              <w:pStyle w:val="30"/>
              <w:widowControl w:val="0"/>
              <w:spacing w:line="240" w:lineRule="auto"/>
            </w:pPr>
          </w:p>
        </w:tc>
        <w:tc>
          <w:tcPr>
            <w:tcW w:w="2160" w:type="dxa"/>
            <w:noWrap w:val="0"/>
            <w:vAlign w:val="center"/>
          </w:tcPr>
          <w:p>
            <w:pPr>
              <w:pStyle w:val="30"/>
              <w:widowControl w:val="0"/>
              <w:spacing w:line="240" w:lineRule="auto"/>
            </w:pPr>
            <w:r>
              <w:t>学业奖学金一等奖</w:t>
            </w:r>
          </w:p>
        </w:tc>
        <w:tc>
          <w:tcPr>
            <w:tcW w:w="1704" w:type="dxa"/>
            <w:noWrap w:val="0"/>
            <w:vAlign w:val="center"/>
          </w:tcPr>
          <w:p>
            <w:pPr>
              <w:pStyle w:val="30"/>
              <w:widowControl w:val="0"/>
              <w:spacing w:line="240" w:lineRule="auto"/>
            </w:pPr>
            <w:r>
              <w:t>10000</w:t>
            </w:r>
          </w:p>
        </w:tc>
        <w:tc>
          <w:tcPr>
            <w:tcW w:w="1705" w:type="dxa"/>
            <w:noWrap w:val="0"/>
            <w:vAlign w:val="center"/>
          </w:tcPr>
          <w:p>
            <w:pPr>
              <w:pStyle w:val="30"/>
              <w:widowControl w:val="0"/>
              <w:spacing w:line="240" w:lineRule="auto"/>
              <w:rPr>
                <w:rFonts w:hint="eastAsia" w:eastAsia="宋体"/>
                <w:lang w:eastAsia="zh-CN"/>
              </w:rPr>
            </w:pPr>
            <w:r>
              <w:rPr>
                <w:rFonts w:hint="eastAsia"/>
                <w:lang w:val="en-US" w:eastAsia="zh-CN"/>
              </w:rPr>
              <w:t>8</w:t>
            </w:r>
          </w:p>
        </w:tc>
        <w:tc>
          <w:tcPr>
            <w:tcW w:w="1705" w:type="dxa"/>
            <w:noWrap w:val="0"/>
            <w:vAlign w:val="center"/>
          </w:tcPr>
          <w:p>
            <w:pPr>
              <w:pStyle w:val="30"/>
              <w:widowControl w:val="0"/>
              <w:spacing w:line="240" w:lineRule="auto"/>
            </w:pPr>
            <w:r>
              <w:rPr>
                <w:rFonts w:hint="eastAsia"/>
                <w:highlight w:val="none"/>
                <w:lang w:val="en-US" w:eastAsia="zh-CN"/>
              </w:rPr>
              <w:t>7</w:t>
            </w:r>
            <w:r>
              <w:rPr>
                <w:rFonts w:hint="eastAsia"/>
                <w:highlight w:val="none"/>
              </w:rPr>
              <w:t>0</w:t>
            </w:r>
            <w:r>
              <w:rPr>
                <w:highlight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vMerge w:val="continue"/>
            <w:noWrap w:val="0"/>
            <w:vAlign w:val="center"/>
          </w:tcPr>
          <w:p>
            <w:pPr>
              <w:pStyle w:val="30"/>
              <w:widowControl w:val="0"/>
              <w:spacing w:line="240" w:lineRule="auto"/>
            </w:pPr>
          </w:p>
        </w:tc>
        <w:tc>
          <w:tcPr>
            <w:tcW w:w="2160" w:type="dxa"/>
            <w:noWrap w:val="0"/>
            <w:vAlign w:val="center"/>
          </w:tcPr>
          <w:p>
            <w:pPr>
              <w:pStyle w:val="30"/>
              <w:widowControl w:val="0"/>
              <w:spacing w:line="240" w:lineRule="auto"/>
            </w:pPr>
            <w:r>
              <w:t>学业奖学金二等奖</w:t>
            </w:r>
          </w:p>
        </w:tc>
        <w:tc>
          <w:tcPr>
            <w:tcW w:w="1704" w:type="dxa"/>
            <w:noWrap w:val="0"/>
            <w:vAlign w:val="center"/>
          </w:tcPr>
          <w:p>
            <w:pPr>
              <w:pStyle w:val="30"/>
              <w:widowControl w:val="0"/>
              <w:spacing w:line="240" w:lineRule="auto"/>
            </w:pPr>
            <w:r>
              <w:t>6000</w:t>
            </w:r>
          </w:p>
        </w:tc>
        <w:tc>
          <w:tcPr>
            <w:tcW w:w="1705" w:type="dxa"/>
            <w:noWrap w:val="0"/>
            <w:vAlign w:val="center"/>
          </w:tcPr>
          <w:p>
            <w:pPr>
              <w:pStyle w:val="30"/>
              <w:widowControl w:val="0"/>
              <w:spacing w:line="240" w:lineRule="auto"/>
            </w:pPr>
            <w:r>
              <w:rPr>
                <w:rFonts w:hint="eastAsia"/>
              </w:rPr>
              <w:t>40</w:t>
            </w:r>
          </w:p>
        </w:tc>
        <w:tc>
          <w:tcPr>
            <w:tcW w:w="1705" w:type="dxa"/>
            <w:noWrap w:val="0"/>
            <w:vAlign w:val="top"/>
          </w:tcPr>
          <w:p>
            <w:pPr>
              <w:pStyle w:val="30"/>
              <w:widowControl w:val="0"/>
              <w:spacing w:line="240" w:lineRule="auto"/>
            </w:pPr>
            <w:r>
              <w:t>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vMerge w:val="continue"/>
            <w:noWrap w:val="0"/>
            <w:vAlign w:val="center"/>
          </w:tcPr>
          <w:p>
            <w:pPr>
              <w:pStyle w:val="30"/>
              <w:widowControl w:val="0"/>
              <w:spacing w:line="240" w:lineRule="auto"/>
            </w:pPr>
          </w:p>
        </w:tc>
        <w:tc>
          <w:tcPr>
            <w:tcW w:w="2160" w:type="dxa"/>
            <w:noWrap w:val="0"/>
            <w:vAlign w:val="center"/>
          </w:tcPr>
          <w:p>
            <w:pPr>
              <w:pStyle w:val="30"/>
              <w:widowControl w:val="0"/>
              <w:spacing w:line="240" w:lineRule="auto"/>
            </w:pPr>
            <w:r>
              <w:t>学业奖学金三等奖</w:t>
            </w:r>
          </w:p>
        </w:tc>
        <w:tc>
          <w:tcPr>
            <w:tcW w:w="1704" w:type="dxa"/>
            <w:noWrap w:val="0"/>
            <w:vAlign w:val="center"/>
          </w:tcPr>
          <w:p>
            <w:pPr>
              <w:pStyle w:val="30"/>
              <w:widowControl w:val="0"/>
              <w:spacing w:line="240" w:lineRule="auto"/>
            </w:pPr>
            <w:r>
              <w:t>4000</w:t>
            </w:r>
          </w:p>
        </w:tc>
        <w:tc>
          <w:tcPr>
            <w:tcW w:w="1705" w:type="dxa"/>
            <w:noWrap w:val="0"/>
            <w:vAlign w:val="center"/>
          </w:tcPr>
          <w:p>
            <w:pPr>
              <w:pStyle w:val="30"/>
              <w:widowControl w:val="0"/>
              <w:spacing w:line="240" w:lineRule="auto"/>
              <w:rPr>
                <w:rFonts w:hint="eastAsia" w:eastAsia="宋体"/>
                <w:lang w:eastAsia="zh-CN"/>
              </w:rPr>
            </w:pPr>
            <w:r>
              <w:t>3</w:t>
            </w:r>
            <w:r>
              <w:rPr>
                <w:rFonts w:hint="eastAsia"/>
                <w:lang w:val="en-US" w:eastAsia="zh-CN"/>
              </w:rPr>
              <w:t>3</w:t>
            </w:r>
          </w:p>
        </w:tc>
        <w:tc>
          <w:tcPr>
            <w:tcW w:w="1705" w:type="dxa"/>
            <w:noWrap w:val="0"/>
            <w:vAlign w:val="top"/>
          </w:tcPr>
          <w:p>
            <w:pPr>
              <w:pStyle w:val="30"/>
              <w:widowControl w:val="0"/>
              <w:spacing w:line="240" w:lineRule="auto"/>
            </w:pPr>
            <w:r>
              <w:t>1</w:t>
            </w:r>
            <w:r>
              <w:rPr>
                <w:rFonts w:hint="eastAsia"/>
                <w:lang w:val="en-US" w:eastAsia="zh-CN"/>
              </w:rPr>
              <w:t>3</w:t>
            </w:r>
            <w: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vMerge w:val="restart"/>
            <w:noWrap w:val="0"/>
            <w:vAlign w:val="center"/>
          </w:tcPr>
          <w:p>
            <w:pPr>
              <w:pStyle w:val="30"/>
              <w:widowControl w:val="0"/>
              <w:spacing w:line="240" w:lineRule="auto"/>
            </w:pPr>
            <w:r>
              <w:t>荣誉奖励</w:t>
            </w:r>
          </w:p>
        </w:tc>
        <w:tc>
          <w:tcPr>
            <w:tcW w:w="2160" w:type="dxa"/>
            <w:noWrap w:val="0"/>
            <w:vAlign w:val="center"/>
          </w:tcPr>
          <w:p>
            <w:pPr>
              <w:pStyle w:val="30"/>
              <w:widowControl w:val="0"/>
              <w:spacing w:line="240" w:lineRule="auto"/>
            </w:pPr>
            <w:r>
              <w:t>研究生荣誉称号</w:t>
            </w:r>
          </w:p>
        </w:tc>
        <w:tc>
          <w:tcPr>
            <w:tcW w:w="1704" w:type="dxa"/>
            <w:noWrap w:val="0"/>
            <w:vAlign w:val="center"/>
          </w:tcPr>
          <w:p>
            <w:pPr>
              <w:pStyle w:val="30"/>
              <w:widowControl w:val="0"/>
              <w:spacing w:line="240" w:lineRule="auto"/>
            </w:pPr>
            <w:r>
              <w:t>300</w:t>
            </w:r>
          </w:p>
        </w:tc>
        <w:tc>
          <w:tcPr>
            <w:tcW w:w="1705" w:type="dxa"/>
            <w:noWrap w:val="0"/>
            <w:vAlign w:val="center"/>
          </w:tcPr>
          <w:p>
            <w:pPr>
              <w:pStyle w:val="30"/>
              <w:widowControl w:val="0"/>
              <w:spacing w:line="240" w:lineRule="auto"/>
              <w:rPr>
                <w:rFonts w:hint="eastAsia" w:eastAsia="宋体"/>
                <w:lang w:eastAsia="zh-CN"/>
              </w:rPr>
            </w:pPr>
            <w:r>
              <w:t>2</w:t>
            </w:r>
            <w:r>
              <w:rPr>
                <w:rFonts w:hint="eastAsia"/>
                <w:lang w:val="en-US" w:eastAsia="zh-CN"/>
              </w:rPr>
              <w:t>2</w:t>
            </w:r>
          </w:p>
        </w:tc>
        <w:tc>
          <w:tcPr>
            <w:tcW w:w="1705" w:type="dxa"/>
            <w:noWrap w:val="0"/>
            <w:vAlign w:val="center"/>
          </w:tcPr>
          <w:p>
            <w:pPr>
              <w:pStyle w:val="30"/>
              <w:widowControl w:val="0"/>
              <w:spacing w:line="240" w:lineRule="auto"/>
            </w:pPr>
            <w:r>
              <w:t>6</w:t>
            </w:r>
            <w:r>
              <w:rPr>
                <w:rFonts w:hint="eastAsia"/>
                <w:lang w:val="en-US" w:eastAsia="zh-CN"/>
              </w:rPr>
              <w:t>6</w:t>
            </w:r>
            <w: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248" w:type="dxa"/>
            <w:vMerge w:val="continue"/>
            <w:noWrap w:val="0"/>
            <w:vAlign w:val="center"/>
          </w:tcPr>
          <w:p>
            <w:pPr>
              <w:pStyle w:val="30"/>
              <w:widowControl w:val="0"/>
              <w:spacing w:line="240" w:lineRule="auto"/>
            </w:pPr>
          </w:p>
        </w:tc>
        <w:tc>
          <w:tcPr>
            <w:tcW w:w="2160" w:type="dxa"/>
            <w:noWrap w:val="0"/>
            <w:vAlign w:val="center"/>
          </w:tcPr>
          <w:p>
            <w:pPr>
              <w:pStyle w:val="30"/>
              <w:widowControl w:val="0"/>
              <w:spacing w:line="240" w:lineRule="auto"/>
            </w:pPr>
            <w:r>
              <w:t>研究生优秀成果奖（研究生）</w:t>
            </w:r>
          </w:p>
        </w:tc>
        <w:tc>
          <w:tcPr>
            <w:tcW w:w="1704" w:type="dxa"/>
            <w:noWrap w:val="0"/>
            <w:vAlign w:val="center"/>
          </w:tcPr>
          <w:p>
            <w:pPr>
              <w:pStyle w:val="30"/>
              <w:widowControl w:val="0"/>
              <w:spacing w:line="240" w:lineRule="auto"/>
            </w:pPr>
            <w:r>
              <w:t>1000</w:t>
            </w:r>
          </w:p>
        </w:tc>
        <w:tc>
          <w:tcPr>
            <w:tcW w:w="1705" w:type="dxa"/>
            <w:noWrap w:val="0"/>
            <w:vAlign w:val="center"/>
          </w:tcPr>
          <w:p>
            <w:pPr>
              <w:pStyle w:val="30"/>
              <w:widowControl w:val="0"/>
              <w:spacing w:line="240" w:lineRule="auto"/>
              <w:rPr>
                <w:rFonts w:hint="eastAsia" w:eastAsia="宋体"/>
                <w:lang w:eastAsia="zh-CN"/>
              </w:rPr>
            </w:pPr>
            <w:r>
              <w:rPr>
                <w:rFonts w:hint="eastAsia"/>
                <w:lang w:val="en-US" w:eastAsia="zh-CN"/>
              </w:rPr>
              <w:t>7</w:t>
            </w:r>
          </w:p>
        </w:tc>
        <w:tc>
          <w:tcPr>
            <w:tcW w:w="1705" w:type="dxa"/>
            <w:noWrap w:val="0"/>
            <w:vAlign w:val="center"/>
          </w:tcPr>
          <w:p>
            <w:pPr>
              <w:pStyle w:val="30"/>
              <w:widowControl w:val="0"/>
              <w:spacing w:line="240" w:lineRule="auto"/>
            </w:pPr>
            <w:r>
              <w:rPr>
                <w:rFonts w:hint="eastAsia"/>
                <w:lang w:val="en-US" w:eastAsia="zh-CN"/>
              </w:rPr>
              <w:t>7</w:t>
            </w:r>
            <w: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vMerge w:val="continue"/>
            <w:noWrap w:val="0"/>
            <w:vAlign w:val="center"/>
          </w:tcPr>
          <w:p>
            <w:pPr>
              <w:pStyle w:val="30"/>
              <w:widowControl w:val="0"/>
              <w:spacing w:line="240" w:lineRule="auto"/>
            </w:pPr>
          </w:p>
        </w:tc>
        <w:tc>
          <w:tcPr>
            <w:tcW w:w="2160" w:type="dxa"/>
            <w:noWrap w:val="0"/>
            <w:vAlign w:val="center"/>
          </w:tcPr>
          <w:p>
            <w:pPr>
              <w:pStyle w:val="30"/>
              <w:widowControl w:val="0"/>
              <w:spacing w:line="240" w:lineRule="auto"/>
            </w:pPr>
            <w:r>
              <w:t>研究生优秀成果奖（导师指导）</w:t>
            </w:r>
          </w:p>
        </w:tc>
        <w:tc>
          <w:tcPr>
            <w:tcW w:w="1704" w:type="dxa"/>
            <w:noWrap w:val="0"/>
            <w:vAlign w:val="center"/>
          </w:tcPr>
          <w:p>
            <w:pPr>
              <w:pStyle w:val="30"/>
              <w:widowControl w:val="0"/>
              <w:spacing w:line="240" w:lineRule="auto"/>
            </w:pPr>
            <w:r>
              <w:t>1000</w:t>
            </w:r>
          </w:p>
        </w:tc>
        <w:tc>
          <w:tcPr>
            <w:tcW w:w="1705" w:type="dxa"/>
            <w:noWrap w:val="0"/>
            <w:vAlign w:val="center"/>
          </w:tcPr>
          <w:p>
            <w:pPr>
              <w:pStyle w:val="30"/>
              <w:widowControl w:val="0"/>
              <w:spacing w:line="240" w:lineRule="auto"/>
              <w:rPr>
                <w:rFonts w:hint="default" w:eastAsia="宋体"/>
                <w:lang w:val="en-US" w:eastAsia="zh-CN"/>
              </w:rPr>
            </w:pPr>
            <w:r>
              <w:rPr>
                <w:rFonts w:hint="eastAsia"/>
                <w:lang w:val="en-US" w:eastAsia="zh-CN"/>
              </w:rPr>
              <w:t>10</w:t>
            </w:r>
          </w:p>
        </w:tc>
        <w:tc>
          <w:tcPr>
            <w:tcW w:w="1705" w:type="dxa"/>
            <w:noWrap w:val="0"/>
            <w:vAlign w:val="center"/>
          </w:tcPr>
          <w:p>
            <w:pPr>
              <w:pStyle w:val="30"/>
              <w:widowControl w:val="0"/>
              <w:spacing w:line="240" w:lineRule="auto"/>
            </w:pPr>
            <w:r>
              <w:rPr>
                <w:rFonts w:hint="eastAsia"/>
                <w:lang w:val="en-US" w:eastAsia="zh-CN"/>
              </w:rPr>
              <w:t>7</w:t>
            </w:r>
            <w: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noWrap w:val="0"/>
            <w:vAlign w:val="center"/>
          </w:tcPr>
          <w:p>
            <w:pPr>
              <w:pStyle w:val="30"/>
              <w:widowControl w:val="0"/>
              <w:spacing w:line="240" w:lineRule="auto"/>
            </w:pPr>
            <w:r>
              <w:t>助学金</w:t>
            </w:r>
          </w:p>
        </w:tc>
        <w:tc>
          <w:tcPr>
            <w:tcW w:w="2160" w:type="dxa"/>
            <w:noWrap w:val="0"/>
            <w:vAlign w:val="center"/>
          </w:tcPr>
          <w:p>
            <w:pPr>
              <w:pStyle w:val="30"/>
              <w:widowControl w:val="0"/>
              <w:spacing w:line="240" w:lineRule="auto"/>
            </w:pPr>
            <w:r>
              <w:t>助学金</w:t>
            </w:r>
          </w:p>
        </w:tc>
        <w:tc>
          <w:tcPr>
            <w:tcW w:w="1704" w:type="dxa"/>
            <w:noWrap w:val="0"/>
            <w:vAlign w:val="center"/>
          </w:tcPr>
          <w:p>
            <w:pPr>
              <w:pStyle w:val="30"/>
              <w:widowControl w:val="0"/>
              <w:spacing w:line="240" w:lineRule="auto"/>
            </w:pPr>
            <w:r>
              <w:rPr>
                <w:rFonts w:hint="eastAsia"/>
              </w:rPr>
              <w:t>900</w:t>
            </w:r>
          </w:p>
        </w:tc>
        <w:tc>
          <w:tcPr>
            <w:tcW w:w="1705" w:type="dxa"/>
            <w:noWrap w:val="0"/>
            <w:vAlign w:val="center"/>
          </w:tcPr>
          <w:p>
            <w:pPr>
              <w:pStyle w:val="30"/>
              <w:widowControl w:val="0"/>
              <w:spacing w:line="240" w:lineRule="auto"/>
            </w:pPr>
            <w:r>
              <w:rPr>
                <w:rFonts w:hint="eastAsia"/>
              </w:rPr>
              <w:t>109</w:t>
            </w:r>
          </w:p>
        </w:tc>
        <w:tc>
          <w:tcPr>
            <w:tcW w:w="1705" w:type="dxa"/>
            <w:noWrap w:val="0"/>
            <w:vAlign w:val="center"/>
          </w:tcPr>
          <w:p>
            <w:pPr>
              <w:pStyle w:val="30"/>
              <w:widowControl w:val="0"/>
              <w:spacing w:line="240" w:lineRule="auto"/>
            </w:pPr>
            <w:r>
              <w:rPr>
                <w:rFonts w:hint="eastAsia"/>
              </w:rPr>
              <w:t>823500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7" w:type="dxa"/>
            <w:gridSpan w:val="4"/>
            <w:noWrap w:val="0"/>
            <w:vAlign w:val="center"/>
          </w:tcPr>
          <w:p>
            <w:pPr>
              <w:pStyle w:val="30"/>
              <w:widowControl w:val="0"/>
              <w:spacing w:line="240" w:lineRule="auto"/>
            </w:pPr>
            <w:r>
              <w:t>合计</w:t>
            </w:r>
          </w:p>
        </w:tc>
        <w:tc>
          <w:tcPr>
            <w:tcW w:w="1705" w:type="dxa"/>
            <w:noWrap w:val="0"/>
            <w:vAlign w:val="center"/>
          </w:tcPr>
          <w:p>
            <w:pPr>
              <w:pStyle w:val="30"/>
              <w:widowControl w:val="0"/>
              <w:spacing w:line="240" w:lineRule="auto"/>
            </w:pPr>
            <w:r>
              <w:rPr>
                <w:highlight w:val="none"/>
              </w:rPr>
              <w:t>13</w:t>
            </w:r>
            <w:r>
              <w:rPr>
                <w:rFonts w:hint="eastAsia"/>
                <w:highlight w:val="none"/>
                <w:lang w:eastAsia="zh-CN"/>
              </w:rPr>
              <w:t>2</w:t>
            </w:r>
            <w:r>
              <w:rPr>
                <w:rFonts w:hint="eastAsia"/>
                <w:highlight w:val="none"/>
                <w:lang w:val="en-US" w:eastAsia="zh-CN"/>
              </w:rPr>
              <w:t>61</w:t>
            </w:r>
            <w:r>
              <w:rPr>
                <w:highlight w:val="none"/>
              </w:rPr>
              <w:t>00</w:t>
            </w:r>
          </w:p>
        </w:tc>
      </w:tr>
    </w:tbl>
    <w:p>
      <w:pPr>
        <w:spacing w:after="157" w:afterLines="50" w:line="240" w:lineRule="auto"/>
        <w:ind w:firstLine="420"/>
        <w:rPr>
          <w:rFonts w:hint="default" w:ascii="Times New Roman" w:hAnsi="Times New Roman" w:eastAsia="楷体" w:cs="Times New Roman"/>
          <w:bCs/>
          <w:sz w:val="21"/>
          <w:szCs w:val="21"/>
        </w:rPr>
      </w:pPr>
      <w:r>
        <w:rPr>
          <w:rFonts w:hint="default" w:ascii="Times New Roman" w:hAnsi="Times New Roman" w:eastAsia="楷体" w:cs="Times New Roman"/>
          <w:bCs/>
          <w:sz w:val="21"/>
          <w:szCs w:val="21"/>
        </w:rPr>
        <w:t>注：1.根据我院规定，</w:t>
      </w:r>
      <w:r>
        <w:rPr>
          <w:rFonts w:hint="default" w:ascii="Times New Roman" w:hAnsi="Times New Roman" w:eastAsia="楷体" w:cs="Times New Roman"/>
          <w:bCs/>
          <w:sz w:val="21"/>
          <w:szCs w:val="21"/>
          <w:highlight w:val="none"/>
        </w:rPr>
        <w:t>获得国家奖学金的研究生一等奖奖金减半，202</w:t>
      </w:r>
      <w:r>
        <w:rPr>
          <w:rFonts w:hint="eastAsia" w:eastAsia="楷体" w:cs="Times New Roman"/>
          <w:bCs/>
          <w:sz w:val="21"/>
          <w:szCs w:val="21"/>
          <w:highlight w:val="none"/>
          <w:lang w:val="en-US" w:eastAsia="zh-CN"/>
        </w:rPr>
        <w:t>3</w:t>
      </w:r>
      <w:r>
        <w:rPr>
          <w:rFonts w:hint="default" w:ascii="Times New Roman" w:hAnsi="Times New Roman" w:eastAsia="楷体" w:cs="Times New Roman"/>
          <w:bCs/>
          <w:sz w:val="21"/>
          <w:szCs w:val="21"/>
          <w:highlight w:val="none"/>
        </w:rPr>
        <w:t>年我院有两位一等奖学金获得者同时获得国家奖学金；</w:t>
      </w:r>
      <w:r>
        <w:rPr>
          <w:rFonts w:hint="default" w:ascii="Times New Roman" w:hAnsi="Times New Roman" w:eastAsia="楷体" w:cs="Times New Roman"/>
          <w:bCs/>
          <w:sz w:val="21"/>
          <w:szCs w:val="21"/>
        </w:rPr>
        <w:t>2.研究生优秀成果奖（导师指导）有</w:t>
      </w:r>
      <w:r>
        <w:rPr>
          <w:rFonts w:hint="eastAsia" w:eastAsia="楷体" w:cs="Times New Roman"/>
          <w:bCs/>
          <w:sz w:val="21"/>
          <w:szCs w:val="21"/>
          <w:lang w:val="en-US" w:eastAsia="zh-CN"/>
        </w:rPr>
        <w:t>6</w:t>
      </w:r>
      <w:r>
        <w:rPr>
          <w:rFonts w:hint="default" w:ascii="Times New Roman" w:hAnsi="Times New Roman" w:eastAsia="楷体" w:cs="Times New Roman"/>
          <w:bCs/>
          <w:sz w:val="21"/>
          <w:szCs w:val="21"/>
        </w:rPr>
        <w:t>位导师联合指导</w:t>
      </w:r>
      <w:r>
        <w:rPr>
          <w:rFonts w:hint="eastAsia" w:eastAsia="楷体" w:cs="Times New Roman"/>
          <w:bCs/>
          <w:sz w:val="21"/>
          <w:szCs w:val="21"/>
          <w:lang w:val="en-US" w:eastAsia="zh-CN"/>
        </w:rPr>
        <w:t>3</w:t>
      </w:r>
      <w:r>
        <w:rPr>
          <w:rFonts w:hint="default" w:ascii="Times New Roman" w:hAnsi="Times New Roman" w:eastAsia="楷体" w:cs="Times New Roman"/>
          <w:bCs/>
          <w:sz w:val="21"/>
          <w:szCs w:val="21"/>
        </w:rPr>
        <w:t>位同学，均分奖金。</w:t>
      </w:r>
    </w:p>
    <w:p>
      <w:pPr>
        <w:pStyle w:val="3"/>
        <w:keepNext w:val="0"/>
        <w:keepLines w:val="0"/>
        <w:widowControl w:val="0"/>
        <w:spacing w:before="0" w:beforeLines="0"/>
        <w:ind w:firstLine="723" w:firstLineChars="200"/>
        <w:rPr>
          <w:rFonts w:hint="eastAsia"/>
        </w:rPr>
      </w:pPr>
      <w:bookmarkStart w:id="143" w:name="_Toc17247"/>
      <w:bookmarkStart w:id="144" w:name="_Toc2353"/>
      <w:bookmarkStart w:id="145" w:name="_Toc31454"/>
      <w:bookmarkStart w:id="146" w:name="_Toc127791876"/>
      <w:bookmarkStart w:id="147" w:name="_Toc21116"/>
      <w:bookmarkStart w:id="148" w:name="_Toc67497724"/>
      <w:bookmarkStart w:id="149" w:name="_Toc67497687"/>
      <w:bookmarkStart w:id="150" w:name="_Toc8594"/>
      <w:r>
        <w:rPr>
          <w:rFonts w:hint="eastAsia"/>
        </w:rPr>
        <w:t>四、研究生教育改革</w:t>
      </w:r>
      <w:bookmarkEnd w:id="143"/>
      <w:bookmarkEnd w:id="144"/>
      <w:bookmarkEnd w:id="145"/>
      <w:bookmarkEnd w:id="146"/>
      <w:bookmarkEnd w:id="147"/>
      <w:bookmarkEnd w:id="148"/>
      <w:bookmarkEnd w:id="149"/>
      <w:bookmarkEnd w:id="150"/>
    </w:p>
    <w:p>
      <w:pPr>
        <w:pStyle w:val="4"/>
        <w:keepNext w:val="0"/>
        <w:keepLines w:val="0"/>
        <w:widowControl w:val="0"/>
        <w:ind w:firstLine="602" w:firstLineChars="200"/>
        <w:rPr>
          <w:rFonts w:hint="eastAsia"/>
        </w:rPr>
      </w:pPr>
      <w:bookmarkStart w:id="151" w:name="_Toc127791877"/>
      <w:bookmarkStart w:id="152" w:name="_Toc23784"/>
      <w:bookmarkStart w:id="153" w:name="_Toc12558"/>
      <w:bookmarkStart w:id="154" w:name="_Toc7213"/>
      <w:bookmarkStart w:id="155" w:name="_Toc4821"/>
      <w:bookmarkStart w:id="156" w:name="_Toc24804"/>
      <w:bookmarkStart w:id="157" w:name="_Toc67497725"/>
      <w:bookmarkStart w:id="158" w:name="_Toc67497688"/>
      <w:r>
        <w:rPr>
          <w:rFonts w:hint="eastAsia"/>
        </w:rPr>
        <w:t>（一）人才培养</w:t>
      </w:r>
      <w:bookmarkEnd w:id="151"/>
      <w:bookmarkEnd w:id="152"/>
      <w:bookmarkEnd w:id="153"/>
      <w:bookmarkEnd w:id="154"/>
      <w:bookmarkEnd w:id="155"/>
      <w:bookmarkEnd w:id="156"/>
      <w:bookmarkEnd w:id="157"/>
      <w:bookmarkEnd w:id="158"/>
    </w:p>
    <w:p>
      <w:pPr>
        <w:ind w:firstLine="480"/>
        <w:rPr>
          <w:rFonts w:hint="eastAsia"/>
        </w:rPr>
      </w:pPr>
      <w:r>
        <w:rPr>
          <w:rFonts w:hint="eastAsia"/>
        </w:rPr>
        <w:t>历年来，我院十分重视理论与实践相结合的教学模式，为</w:t>
      </w:r>
      <w:r>
        <w:rPr>
          <w:rFonts w:hint="eastAsia"/>
          <w:lang w:val="en-US" w:eastAsia="zh-CN"/>
        </w:rPr>
        <w:t>社会</w:t>
      </w:r>
      <w:r>
        <w:rPr>
          <w:rFonts w:hint="eastAsia"/>
        </w:rPr>
        <w:t>培养了一批理论实践结合、课内课外结合、校内校外结合的综合性人才。积极鼓励研究生深度参与社会实践调研</w:t>
      </w:r>
      <w:r>
        <w:rPr>
          <w:rFonts w:hint="eastAsia"/>
          <w:lang w:val="en-US" w:eastAsia="zh-CN"/>
        </w:rPr>
        <w:t>和应用决策研究</w:t>
      </w:r>
      <w:r>
        <w:rPr>
          <w:rFonts w:hint="eastAsia"/>
        </w:rPr>
        <w:t>是我院研究生培养的主要特色。</w:t>
      </w:r>
      <w:r>
        <w:rPr>
          <w:rFonts w:hint="eastAsia"/>
          <w:lang w:val="en-US" w:eastAsia="zh-CN"/>
        </w:rPr>
        <w:t>作为</w:t>
      </w:r>
      <w:r>
        <w:rPr>
          <w:rFonts w:hint="eastAsia"/>
        </w:rPr>
        <w:t>省委省政府</w:t>
      </w:r>
      <w:r>
        <w:rPr>
          <w:rFonts w:hint="eastAsia"/>
          <w:lang w:val="en-US" w:eastAsia="zh-CN"/>
        </w:rPr>
        <w:t>最</w:t>
      </w:r>
      <w:r>
        <w:rPr>
          <w:rFonts w:hint="eastAsia"/>
          <w:lang w:eastAsia="zh-CN"/>
        </w:rPr>
        <w:t>重要的新型智库</w:t>
      </w:r>
      <w:r>
        <w:rPr>
          <w:rFonts w:hint="eastAsia"/>
        </w:rPr>
        <w:t>的机构优势、大量地方政府系列应用</w:t>
      </w:r>
      <w:r>
        <w:rPr>
          <w:rFonts w:hint="eastAsia"/>
          <w:lang w:val="en-US" w:eastAsia="zh-CN"/>
        </w:rPr>
        <w:t>决策</w:t>
      </w:r>
      <w:r>
        <w:rPr>
          <w:rFonts w:hint="eastAsia"/>
        </w:rPr>
        <w:t>研究的课题优势和大量调研实践</w:t>
      </w:r>
      <w:r>
        <w:rPr>
          <w:rFonts w:hint="eastAsia"/>
          <w:lang w:eastAsia="zh-CN"/>
        </w:rPr>
        <w:t>的</w:t>
      </w:r>
      <w:r>
        <w:rPr>
          <w:rFonts w:hint="eastAsia"/>
        </w:rPr>
        <w:t>平台优势，为我院研究生</w:t>
      </w:r>
      <w:r>
        <w:rPr>
          <w:rFonts w:hint="eastAsia"/>
          <w:lang w:eastAsia="zh-CN"/>
        </w:rPr>
        <w:t>深度</w:t>
      </w:r>
      <w:r>
        <w:rPr>
          <w:rFonts w:hint="eastAsia"/>
        </w:rPr>
        <w:t>参与</w:t>
      </w:r>
      <w:r>
        <w:rPr>
          <w:rFonts w:hint="eastAsia"/>
          <w:lang w:eastAsia="zh-CN"/>
        </w:rPr>
        <w:t>省委省</w:t>
      </w:r>
      <w:r>
        <w:rPr>
          <w:rFonts w:hint="eastAsia"/>
        </w:rPr>
        <w:t>政府、地方政府</w:t>
      </w:r>
      <w:r>
        <w:rPr>
          <w:rFonts w:hint="eastAsia"/>
          <w:lang w:eastAsia="zh-CN"/>
        </w:rPr>
        <w:t>、相关部门</w:t>
      </w:r>
      <w:r>
        <w:rPr>
          <w:rFonts w:hint="eastAsia"/>
        </w:rPr>
        <w:t>的决策咨询课题研究提供了坚实基础。</w:t>
      </w:r>
    </w:p>
    <w:p>
      <w:pPr>
        <w:ind w:firstLine="480"/>
        <w:rPr>
          <w:rFonts w:hint="eastAsia"/>
        </w:rPr>
      </w:pPr>
      <w:r>
        <w:rPr>
          <w:rFonts w:hint="eastAsia"/>
        </w:rPr>
        <w:t>一方面，</w:t>
      </w:r>
      <w:r>
        <w:rPr>
          <w:rFonts w:hint="eastAsia"/>
          <w:lang w:val="en-US" w:eastAsia="zh-CN"/>
        </w:rPr>
        <w:t>众多</w:t>
      </w:r>
      <w:r>
        <w:rPr>
          <w:rFonts w:hint="eastAsia"/>
        </w:rPr>
        <w:t>科研平台、实践基地为学生提供多种类型的实习、调研和交流机会。</w:t>
      </w:r>
      <w:r>
        <w:rPr>
          <w:rFonts w:hint="eastAsia"/>
          <w:highlight w:val="none"/>
        </w:rPr>
        <w:t>截至202</w:t>
      </w:r>
      <w:r>
        <w:rPr>
          <w:rFonts w:hint="eastAsia"/>
          <w:highlight w:val="none"/>
          <w:lang w:eastAsia="zh-CN"/>
        </w:rPr>
        <w:t>3</w:t>
      </w:r>
      <w:r>
        <w:rPr>
          <w:rFonts w:hint="eastAsia"/>
          <w:highlight w:val="none"/>
        </w:rPr>
        <w:t>年12月，我院共</w:t>
      </w:r>
      <w:r>
        <w:rPr>
          <w:rFonts w:hint="eastAsia"/>
          <w:highlight w:val="none"/>
          <w:lang w:eastAsia="zh-CN"/>
        </w:rPr>
        <w:t>拥有</w:t>
      </w:r>
      <w:r>
        <w:rPr>
          <w:rFonts w:hint="eastAsia"/>
          <w:highlight w:val="none"/>
        </w:rPr>
        <w:t>3家国家级科研平台，</w:t>
      </w:r>
      <w:r>
        <w:rPr>
          <w:rFonts w:hint="eastAsia"/>
          <w:highlight w:val="none"/>
          <w:lang w:val="en-US" w:eastAsia="zh-CN"/>
        </w:rPr>
        <w:t>6</w:t>
      </w:r>
      <w:r>
        <w:rPr>
          <w:rFonts w:hint="eastAsia"/>
          <w:highlight w:val="none"/>
        </w:rPr>
        <w:t>个省级科研创新平台，</w:t>
      </w:r>
      <w:r>
        <w:rPr>
          <w:rFonts w:hint="eastAsia"/>
        </w:rPr>
        <w:t>10家分院</w:t>
      </w:r>
      <w:r>
        <w:rPr>
          <w:rFonts w:hint="eastAsia"/>
          <w:highlight w:val="none"/>
        </w:rPr>
        <w:t>及4个省情调研基地</w:t>
      </w:r>
      <w:r>
        <w:rPr>
          <w:rFonts w:hint="eastAsia"/>
        </w:rPr>
        <w:t>，这些平台和基地为研究生开展科研创新、社会实践、考察调研等提供了有力保障。</w:t>
      </w:r>
    </w:p>
    <w:p>
      <w:pPr>
        <w:pStyle w:val="6"/>
        <w:keepNext w:val="0"/>
        <w:keepLines w:val="0"/>
        <w:spacing w:before="95" w:beforeLines="30" w:after="157" w:afterLines="50" w:line="240" w:lineRule="auto"/>
        <w:outlineLvl w:val="2"/>
        <w:rPr>
          <w:rFonts w:hint="default" w:ascii="Times New Roman" w:hAnsi="Times New Roman"/>
          <w:b/>
          <w:bCs w:val="0"/>
          <w:color w:val="000000" w:themeColor="text1"/>
          <w14:textFill>
            <w14:solidFill>
              <w14:schemeClr w14:val="tx1"/>
            </w14:solidFill>
          </w14:textFill>
        </w:rPr>
      </w:pPr>
      <w:r>
        <w:rPr>
          <w:rFonts w:hint="default" w:ascii="Times New Roman" w:hAnsi="Times New Roman"/>
          <w:b/>
          <w:bCs w:val="0"/>
          <w:color w:val="000000" w:themeColor="text1"/>
          <w14:textFill>
            <w14:solidFill>
              <w14:schemeClr w14:val="tx1"/>
            </w14:solidFill>
          </w14:textFill>
        </w:rPr>
        <w:t>表</w:t>
      </w:r>
      <w:r>
        <w:rPr>
          <w:rFonts w:hint="default" w:ascii="Times New Roman" w:hAnsi="Times New Roman"/>
          <w:b/>
          <w:bCs w:val="0"/>
          <w:color w:val="000000" w:themeColor="text1"/>
          <w14:textFill>
            <w14:solidFill>
              <w14:schemeClr w14:val="tx1"/>
            </w14:solidFill>
          </w14:textFill>
        </w:rPr>
        <w:fldChar w:fldCharType="begin"/>
      </w:r>
      <w:r>
        <w:rPr>
          <w:rFonts w:hint="default" w:ascii="Times New Roman" w:hAnsi="Times New Roman"/>
          <w:b/>
          <w:bCs w:val="0"/>
          <w:color w:val="000000" w:themeColor="text1"/>
          <w14:textFill>
            <w14:solidFill>
              <w14:schemeClr w14:val="tx1"/>
            </w14:solidFill>
          </w14:textFill>
        </w:rPr>
        <w:instrText xml:space="preserve"> SEQ 表 \* ARABIC </w:instrText>
      </w:r>
      <w:r>
        <w:rPr>
          <w:rFonts w:hint="default" w:ascii="Times New Roman" w:hAnsi="Times New Roman"/>
          <w:b/>
          <w:bCs w:val="0"/>
          <w:color w:val="000000" w:themeColor="text1"/>
          <w14:textFill>
            <w14:solidFill>
              <w14:schemeClr w14:val="tx1"/>
            </w14:solidFill>
          </w14:textFill>
        </w:rPr>
        <w:fldChar w:fldCharType="separate"/>
      </w:r>
      <w:r>
        <w:rPr>
          <w:rFonts w:ascii="Times New Roman" w:hAnsi="Times New Roman"/>
          <w:b/>
          <w:bCs w:val="0"/>
          <w:color w:val="000000" w:themeColor="text1"/>
          <w14:textFill>
            <w14:solidFill>
              <w14:schemeClr w14:val="tx1"/>
            </w14:solidFill>
          </w14:textFill>
        </w:rPr>
        <w:t>1</w:t>
      </w:r>
      <w:r>
        <w:rPr>
          <w:rFonts w:hint="default" w:ascii="Times New Roman" w:hAnsi="Times New Roman"/>
          <w:b/>
          <w:bCs w:val="0"/>
          <w:color w:val="000000" w:themeColor="text1"/>
          <w14:textFill>
            <w14:solidFill>
              <w14:schemeClr w14:val="tx1"/>
            </w14:solidFill>
          </w14:textFill>
        </w:rPr>
        <w:fldChar w:fldCharType="end"/>
      </w:r>
      <w:r>
        <w:rPr>
          <w:rFonts w:hint="eastAsia" w:ascii="Times New Roman" w:hAnsi="Times New Roman"/>
          <w:b/>
          <w:bCs w:val="0"/>
          <w:color w:val="000000" w:themeColor="text1"/>
          <w:lang w:val="en-US" w:eastAsia="zh-CN"/>
          <w14:textFill>
            <w14:solidFill>
              <w14:schemeClr w14:val="tx1"/>
            </w14:solidFill>
          </w14:textFill>
        </w:rPr>
        <w:t>5</w:t>
      </w:r>
      <w:r>
        <w:rPr>
          <w:rFonts w:hint="default" w:ascii="Times New Roman" w:hAnsi="Times New Roman"/>
          <w:b/>
          <w:bCs w:val="0"/>
          <w:color w:val="000000" w:themeColor="text1"/>
          <w14:textFill>
            <w14:solidFill>
              <w14:schemeClr w14:val="tx1"/>
            </w14:solidFill>
          </w14:textFill>
        </w:rPr>
        <w:t xml:space="preserve">  </w:t>
      </w:r>
      <w:r>
        <w:rPr>
          <w:rFonts w:hint="eastAsia" w:ascii="Times New Roman" w:hAnsi="Times New Roman"/>
          <w:b/>
          <w:bCs w:val="0"/>
          <w:color w:val="000000" w:themeColor="text1"/>
          <w:lang w:eastAsia="zh-CN"/>
          <w14:textFill>
            <w14:solidFill>
              <w14:schemeClr w14:val="tx1"/>
            </w14:solidFill>
          </w14:textFill>
        </w:rPr>
        <w:t>国家级、省级</w:t>
      </w:r>
      <w:r>
        <w:rPr>
          <w:rFonts w:hint="default" w:ascii="Times New Roman" w:hAnsi="Times New Roman"/>
          <w:b/>
          <w:bCs w:val="0"/>
          <w:color w:val="000000" w:themeColor="text1"/>
          <w14:textFill>
            <w14:solidFill>
              <w14:schemeClr w14:val="tx1"/>
            </w14:solidFill>
          </w14:textFill>
        </w:rPr>
        <w:t>研究生社会实践平台</w:t>
      </w:r>
    </w:p>
    <w:tbl>
      <w:tblPr>
        <w:tblStyle w:val="14"/>
        <w:tblW w:w="872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205"/>
        <w:gridCol w:w="3068"/>
        <w:gridCol w:w="14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2" w:hRule="atLeast"/>
          <w:tblHeader/>
          <w:jc w:val="center"/>
        </w:trPr>
        <w:tc>
          <w:tcPr>
            <w:tcW w:w="4205" w:type="dxa"/>
            <w:tcBorders>
              <w:top w:val="single" w:color="auto" w:sz="6" w:space="0"/>
              <w:left w:val="single" w:color="auto" w:sz="6" w:space="0"/>
              <w:bottom w:val="single" w:color="auto" w:sz="6" w:space="0"/>
              <w:right w:val="single" w:color="auto" w:sz="6" w:space="0"/>
            </w:tcBorders>
            <w:noWrap w:val="0"/>
            <w:vAlign w:val="center"/>
          </w:tcPr>
          <w:p>
            <w:pPr>
              <w:pStyle w:val="30"/>
              <w:widowControl w:val="0"/>
              <w:spacing w:line="240" w:lineRule="auto"/>
            </w:pPr>
            <w:r>
              <w:t>名              称</w:t>
            </w:r>
          </w:p>
        </w:tc>
        <w:tc>
          <w:tcPr>
            <w:tcW w:w="3068" w:type="dxa"/>
            <w:tcBorders>
              <w:top w:val="single" w:color="auto" w:sz="6" w:space="0"/>
              <w:left w:val="nil"/>
              <w:bottom w:val="single" w:color="auto" w:sz="6" w:space="0"/>
              <w:right w:val="single" w:color="auto" w:sz="6" w:space="0"/>
            </w:tcBorders>
            <w:noWrap w:val="0"/>
            <w:vAlign w:val="center"/>
          </w:tcPr>
          <w:p>
            <w:pPr>
              <w:pStyle w:val="30"/>
              <w:widowControl w:val="0"/>
              <w:spacing w:line="240" w:lineRule="auto"/>
            </w:pPr>
            <w:r>
              <w:t>批 准 部 门</w:t>
            </w:r>
          </w:p>
        </w:tc>
        <w:tc>
          <w:tcPr>
            <w:tcW w:w="1449" w:type="dxa"/>
            <w:tcBorders>
              <w:top w:val="single" w:color="auto" w:sz="6" w:space="0"/>
              <w:left w:val="nil"/>
              <w:bottom w:val="single" w:color="auto" w:sz="6" w:space="0"/>
              <w:right w:val="single" w:color="auto" w:sz="6" w:space="0"/>
            </w:tcBorders>
            <w:noWrap w:val="0"/>
            <w:vAlign w:val="center"/>
          </w:tcPr>
          <w:p>
            <w:pPr>
              <w:pStyle w:val="30"/>
              <w:widowControl w:val="0"/>
              <w:spacing w:line="240" w:lineRule="auto"/>
            </w:pPr>
            <w:r>
              <w:t>批准时间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4205" w:type="dxa"/>
            <w:tcBorders>
              <w:top w:val="single" w:color="auto" w:sz="6" w:space="0"/>
              <w:left w:val="single" w:color="auto" w:sz="6" w:space="0"/>
              <w:bottom w:val="single" w:color="auto" w:sz="6" w:space="0"/>
              <w:right w:val="single" w:color="auto" w:sz="6" w:space="0"/>
            </w:tcBorders>
            <w:noWrap w:val="0"/>
            <w:vAlign w:val="center"/>
          </w:tcPr>
          <w:p>
            <w:pPr>
              <w:pStyle w:val="30"/>
              <w:widowControl w:val="0"/>
              <w:spacing w:line="240" w:lineRule="auto"/>
            </w:pPr>
            <w:r>
              <w:rPr>
                <w:rFonts w:hint="eastAsia"/>
              </w:rPr>
              <w:t>广东省</w:t>
            </w:r>
            <w:r>
              <w:t>中国特色社会主义理论体系研究中心</w:t>
            </w:r>
          </w:p>
        </w:tc>
        <w:tc>
          <w:tcPr>
            <w:tcW w:w="3068" w:type="dxa"/>
            <w:tcBorders>
              <w:top w:val="single" w:color="auto" w:sz="6" w:space="0"/>
              <w:left w:val="nil"/>
              <w:bottom w:val="single" w:color="auto" w:sz="6" w:space="0"/>
              <w:right w:val="single" w:color="auto" w:sz="6" w:space="0"/>
            </w:tcBorders>
            <w:noWrap w:val="0"/>
            <w:vAlign w:val="center"/>
          </w:tcPr>
          <w:p>
            <w:pPr>
              <w:pStyle w:val="30"/>
              <w:widowControl w:val="0"/>
              <w:spacing w:line="240" w:lineRule="auto"/>
            </w:pPr>
            <w:r>
              <w:t>中共中央宣传部</w:t>
            </w:r>
          </w:p>
        </w:tc>
        <w:tc>
          <w:tcPr>
            <w:tcW w:w="1449" w:type="dxa"/>
            <w:tcBorders>
              <w:top w:val="single" w:color="auto" w:sz="6" w:space="0"/>
              <w:left w:val="nil"/>
              <w:bottom w:val="single" w:color="auto" w:sz="6" w:space="0"/>
              <w:right w:val="single" w:color="auto" w:sz="6" w:space="0"/>
            </w:tcBorders>
            <w:noWrap w:val="0"/>
            <w:vAlign w:val="center"/>
          </w:tcPr>
          <w:p>
            <w:pPr>
              <w:pStyle w:val="30"/>
              <w:widowControl w:val="0"/>
              <w:spacing w:line="240" w:lineRule="auto"/>
            </w:pPr>
            <w:r>
              <w:t>200</w:t>
            </w:r>
            <w:r>
              <w:rPr>
                <w:rFonts w:hint="eastAsia"/>
              </w:rPr>
              <w:t>1</w:t>
            </w:r>
            <w:r>
              <w:t>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4205" w:type="dxa"/>
            <w:tcBorders>
              <w:top w:val="single" w:color="auto" w:sz="6" w:space="0"/>
              <w:left w:val="single" w:color="auto" w:sz="6" w:space="0"/>
              <w:bottom w:val="single" w:color="auto" w:sz="6" w:space="0"/>
              <w:right w:val="single" w:color="auto" w:sz="6" w:space="0"/>
            </w:tcBorders>
            <w:noWrap w:val="0"/>
            <w:vAlign w:val="center"/>
          </w:tcPr>
          <w:p>
            <w:pPr>
              <w:pStyle w:val="30"/>
              <w:widowControl w:val="0"/>
              <w:spacing w:line="240" w:lineRule="auto"/>
            </w:pPr>
            <w:r>
              <w:t>广东省习近平新时代中国特色社会主义思想</w:t>
            </w:r>
          </w:p>
          <w:p>
            <w:pPr>
              <w:pStyle w:val="30"/>
              <w:widowControl w:val="0"/>
              <w:spacing w:line="240" w:lineRule="auto"/>
            </w:pPr>
            <w:r>
              <w:t>研究中心</w:t>
            </w:r>
          </w:p>
        </w:tc>
        <w:tc>
          <w:tcPr>
            <w:tcW w:w="3068" w:type="dxa"/>
            <w:tcBorders>
              <w:top w:val="single" w:color="auto" w:sz="6" w:space="0"/>
              <w:left w:val="nil"/>
              <w:bottom w:val="single" w:color="auto" w:sz="6" w:space="0"/>
              <w:right w:val="single" w:color="auto" w:sz="6" w:space="0"/>
            </w:tcBorders>
            <w:noWrap w:val="0"/>
            <w:vAlign w:val="center"/>
          </w:tcPr>
          <w:p>
            <w:pPr>
              <w:pStyle w:val="30"/>
              <w:widowControl w:val="0"/>
              <w:spacing w:line="240" w:lineRule="auto"/>
            </w:pPr>
            <w:r>
              <w:t>中共中央宣传部</w:t>
            </w:r>
          </w:p>
        </w:tc>
        <w:tc>
          <w:tcPr>
            <w:tcW w:w="1449" w:type="dxa"/>
            <w:tcBorders>
              <w:top w:val="single" w:color="auto" w:sz="6" w:space="0"/>
              <w:left w:val="nil"/>
              <w:bottom w:val="single" w:color="auto" w:sz="6" w:space="0"/>
              <w:right w:val="single" w:color="auto" w:sz="6" w:space="0"/>
            </w:tcBorders>
            <w:noWrap w:val="0"/>
            <w:vAlign w:val="center"/>
          </w:tcPr>
          <w:p>
            <w:pPr>
              <w:pStyle w:val="30"/>
              <w:widowControl w:val="0"/>
              <w:spacing w:line="240" w:lineRule="auto"/>
            </w:pPr>
            <w:r>
              <w:t>2017年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4205" w:type="dxa"/>
            <w:tcBorders>
              <w:top w:val="single" w:color="auto" w:sz="6" w:space="0"/>
              <w:left w:val="single" w:color="auto" w:sz="6" w:space="0"/>
              <w:bottom w:val="single" w:color="auto" w:sz="6" w:space="0"/>
              <w:right w:val="single" w:color="auto" w:sz="6" w:space="0"/>
            </w:tcBorders>
            <w:noWrap w:val="0"/>
            <w:vAlign w:val="center"/>
          </w:tcPr>
          <w:p>
            <w:pPr>
              <w:pStyle w:val="30"/>
              <w:widowControl w:val="0"/>
              <w:spacing w:line="240" w:lineRule="auto"/>
            </w:pPr>
            <w:r>
              <w:rPr>
                <w:rFonts w:hint="eastAsia"/>
              </w:rPr>
              <w:t>全国古籍重点保护单位</w:t>
            </w:r>
          </w:p>
        </w:tc>
        <w:tc>
          <w:tcPr>
            <w:tcW w:w="3068" w:type="dxa"/>
            <w:tcBorders>
              <w:top w:val="single" w:color="auto" w:sz="6" w:space="0"/>
              <w:left w:val="nil"/>
              <w:bottom w:val="single" w:color="auto" w:sz="6" w:space="0"/>
              <w:right w:val="single" w:color="auto" w:sz="6" w:space="0"/>
            </w:tcBorders>
            <w:noWrap w:val="0"/>
            <w:vAlign w:val="center"/>
          </w:tcPr>
          <w:p>
            <w:pPr>
              <w:pStyle w:val="30"/>
              <w:widowControl w:val="0"/>
              <w:spacing w:line="240" w:lineRule="auto"/>
            </w:pPr>
            <w:r>
              <w:t>文化和旅游部</w:t>
            </w:r>
          </w:p>
        </w:tc>
        <w:tc>
          <w:tcPr>
            <w:tcW w:w="1449" w:type="dxa"/>
            <w:tcBorders>
              <w:top w:val="single" w:color="auto" w:sz="6" w:space="0"/>
              <w:left w:val="nil"/>
              <w:bottom w:val="single" w:color="auto" w:sz="6" w:space="0"/>
              <w:right w:val="single" w:color="auto" w:sz="6" w:space="0"/>
            </w:tcBorders>
            <w:noWrap w:val="0"/>
            <w:vAlign w:val="center"/>
          </w:tcPr>
          <w:p>
            <w:pPr>
              <w:pStyle w:val="30"/>
              <w:widowControl w:val="0"/>
              <w:spacing w:line="240" w:lineRule="auto"/>
            </w:pPr>
            <w:r>
              <w:rPr>
                <w:rFonts w:hint="eastAsia"/>
              </w:rPr>
              <w:t>2020年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4205" w:type="dxa"/>
            <w:tcBorders>
              <w:top w:val="single" w:color="auto" w:sz="6" w:space="0"/>
              <w:left w:val="single" w:color="auto" w:sz="6" w:space="0"/>
              <w:bottom w:val="single" w:color="auto" w:sz="6" w:space="0"/>
              <w:right w:val="single" w:color="auto" w:sz="6" w:space="0"/>
            </w:tcBorders>
            <w:noWrap w:val="0"/>
            <w:vAlign w:val="center"/>
          </w:tcPr>
          <w:p>
            <w:pPr>
              <w:pStyle w:val="30"/>
              <w:widowControl w:val="0"/>
              <w:spacing w:line="240" w:lineRule="auto"/>
              <w:rPr>
                <w:rFonts w:hint="eastAsia"/>
              </w:rPr>
            </w:pPr>
            <w:r>
              <w:rPr>
                <w:rFonts w:hint="eastAsia"/>
              </w:rPr>
              <w:t>广东省精神文明研究中心</w:t>
            </w:r>
          </w:p>
        </w:tc>
        <w:tc>
          <w:tcPr>
            <w:tcW w:w="3068" w:type="dxa"/>
            <w:tcBorders>
              <w:top w:val="single" w:color="auto" w:sz="6" w:space="0"/>
              <w:left w:val="nil"/>
              <w:bottom w:val="single" w:color="auto" w:sz="6" w:space="0"/>
              <w:right w:val="single" w:color="auto" w:sz="6" w:space="0"/>
            </w:tcBorders>
            <w:noWrap w:val="0"/>
            <w:vAlign w:val="center"/>
          </w:tcPr>
          <w:p>
            <w:pPr>
              <w:pStyle w:val="30"/>
              <w:widowControl w:val="0"/>
              <w:spacing w:line="240" w:lineRule="auto"/>
            </w:pPr>
            <w:r>
              <w:rPr>
                <w:rFonts w:hint="eastAsia"/>
              </w:rPr>
              <w:t>广东省机构编制委员会办公室</w:t>
            </w:r>
          </w:p>
        </w:tc>
        <w:tc>
          <w:tcPr>
            <w:tcW w:w="1449" w:type="dxa"/>
            <w:tcBorders>
              <w:top w:val="single" w:color="auto" w:sz="6" w:space="0"/>
              <w:left w:val="nil"/>
              <w:bottom w:val="single" w:color="auto" w:sz="6" w:space="0"/>
              <w:right w:val="single" w:color="auto" w:sz="6" w:space="0"/>
            </w:tcBorders>
            <w:noWrap w:val="0"/>
            <w:vAlign w:val="center"/>
          </w:tcPr>
          <w:p>
            <w:pPr>
              <w:pStyle w:val="30"/>
              <w:widowControl w:val="0"/>
              <w:spacing w:line="240" w:lineRule="auto"/>
            </w:pPr>
            <w:r>
              <w:rPr>
                <w:rFonts w:hint="eastAsia"/>
              </w:rPr>
              <w:t>1997年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4205" w:type="dxa"/>
            <w:tcBorders>
              <w:top w:val="single" w:color="auto" w:sz="6" w:space="0"/>
              <w:left w:val="single" w:color="auto" w:sz="6" w:space="0"/>
              <w:bottom w:val="single" w:color="auto" w:sz="6" w:space="0"/>
              <w:right w:val="single" w:color="auto" w:sz="6" w:space="0"/>
            </w:tcBorders>
            <w:noWrap w:val="0"/>
            <w:vAlign w:val="center"/>
          </w:tcPr>
          <w:p>
            <w:pPr>
              <w:pStyle w:val="30"/>
              <w:widowControl w:val="0"/>
              <w:spacing w:line="240" w:lineRule="auto"/>
              <w:rPr>
                <w:rFonts w:hint="eastAsia"/>
              </w:rPr>
            </w:pPr>
            <w:r>
              <w:rPr>
                <w:rFonts w:hint="eastAsia"/>
                <w:lang w:eastAsia="zh-CN"/>
              </w:rPr>
              <w:t>生态文明广东省哲学社会科学协同创新研究基地</w:t>
            </w:r>
          </w:p>
        </w:tc>
        <w:tc>
          <w:tcPr>
            <w:tcW w:w="3068" w:type="dxa"/>
            <w:tcBorders>
              <w:top w:val="single" w:color="auto" w:sz="6" w:space="0"/>
              <w:left w:val="nil"/>
              <w:bottom w:val="single" w:color="auto" w:sz="6" w:space="0"/>
              <w:right w:val="single" w:color="auto" w:sz="6" w:space="0"/>
            </w:tcBorders>
            <w:noWrap w:val="0"/>
            <w:vAlign w:val="center"/>
          </w:tcPr>
          <w:p>
            <w:pPr>
              <w:pStyle w:val="30"/>
              <w:widowControl w:val="0"/>
              <w:spacing w:line="240" w:lineRule="auto"/>
            </w:pPr>
            <w:r>
              <w:rPr>
                <w:rFonts w:hint="eastAsia"/>
                <w:lang w:eastAsia="zh-CN"/>
              </w:rPr>
              <w:t>广东省委宣传部</w:t>
            </w:r>
          </w:p>
        </w:tc>
        <w:tc>
          <w:tcPr>
            <w:tcW w:w="1449" w:type="dxa"/>
            <w:tcBorders>
              <w:top w:val="single" w:color="auto" w:sz="6" w:space="0"/>
              <w:left w:val="nil"/>
              <w:bottom w:val="single" w:color="auto" w:sz="6" w:space="0"/>
              <w:right w:val="single" w:color="auto" w:sz="6" w:space="0"/>
            </w:tcBorders>
            <w:noWrap w:val="0"/>
            <w:vAlign w:val="center"/>
          </w:tcPr>
          <w:p>
            <w:pPr>
              <w:pStyle w:val="30"/>
              <w:widowControl w:val="0"/>
              <w:spacing w:line="240" w:lineRule="auto"/>
            </w:pPr>
            <w:r>
              <w:rPr>
                <w:rFonts w:hint="eastAsia"/>
                <w:lang w:val="en-US" w:eastAsia="zh-CN"/>
              </w:rPr>
              <w:t>2015年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4205" w:type="dxa"/>
            <w:tcBorders>
              <w:top w:val="single" w:color="auto" w:sz="6" w:space="0"/>
              <w:left w:val="single" w:color="auto" w:sz="6" w:space="0"/>
              <w:bottom w:val="single" w:color="auto" w:sz="6" w:space="0"/>
              <w:right w:val="single" w:color="auto" w:sz="6" w:space="0"/>
            </w:tcBorders>
            <w:noWrap w:val="0"/>
            <w:vAlign w:val="center"/>
          </w:tcPr>
          <w:p>
            <w:pPr>
              <w:pStyle w:val="30"/>
              <w:widowControl w:val="0"/>
              <w:spacing w:line="240" w:lineRule="auto"/>
              <w:rPr>
                <w:rFonts w:hint="eastAsia"/>
              </w:rPr>
            </w:pPr>
            <w:r>
              <w:rPr>
                <w:rFonts w:hint="eastAsia"/>
                <w:lang w:eastAsia="zh-CN"/>
              </w:rPr>
              <w:t>粤港澳大湾区研究院</w:t>
            </w:r>
          </w:p>
        </w:tc>
        <w:tc>
          <w:tcPr>
            <w:tcW w:w="3068" w:type="dxa"/>
            <w:tcBorders>
              <w:top w:val="single" w:color="auto" w:sz="6" w:space="0"/>
              <w:left w:val="nil"/>
              <w:bottom w:val="single" w:color="auto" w:sz="6" w:space="0"/>
              <w:right w:val="single" w:color="auto" w:sz="6" w:space="0"/>
            </w:tcBorders>
            <w:noWrap w:val="0"/>
            <w:vAlign w:val="center"/>
          </w:tcPr>
          <w:p>
            <w:pPr>
              <w:pStyle w:val="30"/>
              <w:widowControl w:val="0"/>
              <w:spacing w:line="240" w:lineRule="auto"/>
              <w:rPr>
                <w:rFonts w:hint="eastAsia"/>
              </w:rPr>
            </w:pPr>
            <w:r>
              <w:rPr>
                <w:rFonts w:hint="eastAsia"/>
                <w:lang w:eastAsia="zh-CN"/>
              </w:rPr>
              <w:t>广东省委宣传部</w:t>
            </w:r>
          </w:p>
        </w:tc>
        <w:tc>
          <w:tcPr>
            <w:tcW w:w="1449" w:type="dxa"/>
            <w:tcBorders>
              <w:top w:val="single" w:color="auto" w:sz="6" w:space="0"/>
              <w:left w:val="nil"/>
              <w:bottom w:val="single" w:color="auto" w:sz="6" w:space="0"/>
              <w:right w:val="single" w:color="auto" w:sz="6" w:space="0"/>
            </w:tcBorders>
            <w:noWrap w:val="0"/>
            <w:vAlign w:val="center"/>
          </w:tcPr>
          <w:p>
            <w:pPr>
              <w:pStyle w:val="30"/>
              <w:widowControl w:val="0"/>
              <w:spacing w:line="240" w:lineRule="auto"/>
              <w:rPr>
                <w:rFonts w:hint="eastAsia"/>
              </w:rPr>
            </w:pPr>
            <w:r>
              <w:rPr>
                <w:rFonts w:hint="eastAsia"/>
                <w:lang w:val="en-US" w:eastAsia="zh-CN"/>
              </w:rPr>
              <w:t>2017年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4205" w:type="dxa"/>
            <w:tcBorders>
              <w:top w:val="single" w:color="auto" w:sz="6" w:space="0"/>
              <w:left w:val="single" w:color="auto" w:sz="6" w:space="0"/>
              <w:bottom w:val="single" w:color="auto" w:sz="6" w:space="0"/>
              <w:right w:val="single" w:color="auto" w:sz="6" w:space="0"/>
            </w:tcBorders>
            <w:noWrap w:val="0"/>
            <w:vAlign w:val="center"/>
          </w:tcPr>
          <w:p>
            <w:pPr>
              <w:pStyle w:val="30"/>
              <w:widowControl w:val="0"/>
              <w:spacing w:line="240" w:lineRule="auto"/>
              <w:rPr>
                <w:rFonts w:hint="eastAsia" w:eastAsia="宋体"/>
                <w:lang w:eastAsia="zh-CN"/>
              </w:rPr>
            </w:pPr>
            <w:r>
              <w:rPr>
                <w:rFonts w:hint="eastAsia"/>
                <w:lang w:eastAsia="zh-CN"/>
              </w:rPr>
              <w:t>广东省人才</w:t>
            </w:r>
            <w:r>
              <w:rPr>
                <w:rFonts w:hint="eastAsia"/>
                <w:lang w:val="en-US" w:eastAsia="zh-CN"/>
              </w:rPr>
              <w:t>发展</w:t>
            </w:r>
            <w:r>
              <w:rPr>
                <w:rFonts w:hint="eastAsia"/>
                <w:lang w:eastAsia="zh-CN"/>
              </w:rPr>
              <w:t>研究中心</w:t>
            </w:r>
          </w:p>
        </w:tc>
        <w:tc>
          <w:tcPr>
            <w:tcW w:w="3068" w:type="dxa"/>
            <w:tcBorders>
              <w:top w:val="single" w:color="auto" w:sz="6" w:space="0"/>
              <w:left w:val="nil"/>
              <w:bottom w:val="single" w:color="auto" w:sz="6" w:space="0"/>
              <w:right w:val="single" w:color="auto" w:sz="6" w:space="0"/>
            </w:tcBorders>
            <w:noWrap w:val="0"/>
            <w:vAlign w:val="center"/>
          </w:tcPr>
          <w:p>
            <w:pPr>
              <w:pStyle w:val="30"/>
              <w:widowControl w:val="0"/>
              <w:spacing w:line="240" w:lineRule="auto"/>
              <w:rPr>
                <w:rFonts w:hint="eastAsia"/>
              </w:rPr>
            </w:pPr>
            <w:r>
              <w:rPr>
                <w:rFonts w:hint="eastAsia"/>
              </w:rPr>
              <w:t>广东省机构编制委员会办公室</w:t>
            </w:r>
          </w:p>
        </w:tc>
        <w:tc>
          <w:tcPr>
            <w:tcW w:w="1449" w:type="dxa"/>
            <w:tcBorders>
              <w:top w:val="single" w:color="auto" w:sz="6" w:space="0"/>
              <w:left w:val="nil"/>
              <w:bottom w:val="single" w:color="auto" w:sz="6" w:space="0"/>
              <w:right w:val="single" w:color="auto" w:sz="6" w:space="0"/>
            </w:tcBorders>
            <w:noWrap w:val="0"/>
            <w:vAlign w:val="center"/>
          </w:tcPr>
          <w:p>
            <w:pPr>
              <w:pStyle w:val="30"/>
              <w:widowControl w:val="0"/>
              <w:spacing w:line="240" w:lineRule="auto"/>
              <w:rPr>
                <w:rFonts w:hint="default" w:eastAsia="宋体"/>
                <w:lang w:val="en-US" w:eastAsia="zh-CN"/>
              </w:rPr>
            </w:pPr>
            <w:r>
              <w:rPr>
                <w:rFonts w:hint="eastAsia"/>
                <w:lang w:val="en-US" w:eastAsia="zh-CN"/>
              </w:rPr>
              <w:t>2018年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4205" w:type="dxa"/>
            <w:tcBorders>
              <w:top w:val="single" w:color="auto" w:sz="6" w:space="0"/>
              <w:left w:val="single" w:color="auto" w:sz="6" w:space="0"/>
              <w:bottom w:val="single" w:color="auto" w:sz="6" w:space="0"/>
              <w:right w:val="single" w:color="auto" w:sz="6" w:space="0"/>
            </w:tcBorders>
            <w:noWrap w:val="0"/>
            <w:vAlign w:val="center"/>
          </w:tcPr>
          <w:p>
            <w:pPr>
              <w:pStyle w:val="30"/>
              <w:widowControl w:val="0"/>
              <w:spacing w:line="240" w:lineRule="auto"/>
              <w:rPr>
                <w:rFonts w:hint="eastAsia"/>
                <w:lang w:eastAsia="zh-CN"/>
              </w:rPr>
            </w:pPr>
            <w:r>
              <w:rPr>
                <w:rFonts w:hint="eastAsia"/>
              </w:rPr>
              <w:t>广东省博士后创新实践基地</w:t>
            </w:r>
          </w:p>
        </w:tc>
        <w:tc>
          <w:tcPr>
            <w:tcW w:w="3068" w:type="dxa"/>
            <w:tcBorders>
              <w:top w:val="single" w:color="auto" w:sz="6" w:space="0"/>
              <w:left w:val="nil"/>
              <w:bottom w:val="single" w:color="auto" w:sz="6" w:space="0"/>
              <w:right w:val="single" w:color="auto" w:sz="6" w:space="0"/>
            </w:tcBorders>
            <w:noWrap w:val="0"/>
            <w:vAlign w:val="center"/>
          </w:tcPr>
          <w:p>
            <w:pPr>
              <w:pStyle w:val="30"/>
              <w:widowControl w:val="0"/>
              <w:spacing w:line="240" w:lineRule="auto"/>
              <w:rPr>
                <w:rFonts w:hint="eastAsia"/>
              </w:rPr>
            </w:pPr>
            <w:r>
              <w:rPr>
                <w:rFonts w:hint="eastAsia"/>
              </w:rPr>
              <w:t>广东省人力资源和社会保障厅</w:t>
            </w:r>
          </w:p>
        </w:tc>
        <w:tc>
          <w:tcPr>
            <w:tcW w:w="1449" w:type="dxa"/>
            <w:tcBorders>
              <w:top w:val="single" w:color="auto" w:sz="6" w:space="0"/>
              <w:left w:val="nil"/>
              <w:bottom w:val="single" w:color="auto" w:sz="6" w:space="0"/>
              <w:right w:val="single" w:color="auto" w:sz="6" w:space="0"/>
            </w:tcBorders>
            <w:noWrap w:val="0"/>
            <w:vAlign w:val="center"/>
          </w:tcPr>
          <w:p>
            <w:pPr>
              <w:pStyle w:val="30"/>
              <w:widowControl w:val="0"/>
              <w:spacing w:line="240" w:lineRule="auto"/>
              <w:rPr>
                <w:rFonts w:hint="eastAsia"/>
                <w:lang w:val="en-US" w:eastAsia="zh-CN"/>
              </w:rPr>
            </w:pPr>
            <w:r>
              <w:rPr>
                <w:rFonts w:hint="eastAsia"/>
              </w:rPr>
              <w:t>2018年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4205" w:type="dxa"/>
            <w:tcBorders>
              <w:top w:val="single" w:color="auto" w:sz="6" w:space="0"/>
              <w:left w:val="single" w:color="auto" w:sz="6" w:space="0"/>
              <w:bottom w:val="single" w:color="auto" w:sz="6" w:space="0"/>
              <w:right w:val="single" w:color="auto" w:sz="6" w:space="0"/>
            </w:tcBorders>
            <w:noWrap w:val="0"/>
            <w:vAlign w:val="center"/>
          </w:tcPr>
          <w:p>
            <w:pPr>
              <w:pStyle w:val="30"/>
              <w:widowControl w:val="0"/>
              <w:spacing w:line="240" w:lineRule="auto"/>
              <w:rPr>
                <w:rFonts w:hint="eastAsia"/>
              </w:rPr>
            </w:pPr>
            <w:r>
              <w:rPr>
                <w:rFonts w:hint="eastAsia"/>
              </w:rPr>
              <w:t>海洋强国建设重点实验室</w:t>
            </w:r>
          </w:p>
        </w:tc>
        <w:tc>
          <w:tcPr>
            <w:tcW w:w="3068" w:type="dxa"/>
            <w:tcBorders>
              <w:top w:val="single" w:color="auto" w:sz="6" w:space="0"/>
              <w:left w:val="nil"/>
              <w:bottom w:val="single" w:color="auto" w:sz="6" w:space="0"/>
              <w:right w:val="single" w:color="auto" w:sz="6" w:space="0"/>
            </w:tcBorders>
            <w:noWrap w:val="0"/>
            <w:vAlign w:val="center"/>
          </w:tcPr>
          <w:p>
            <w:pPr>
              <w:pStyle w:val="30"/>
              <w:widowControl w:val="0"/>
              <w:spacing w:line="240" w:lineRule="auto"/>
            </w:pPr>
            <w:r>
              <w:rPr>
                <w:rFonts w:hint="eastAsia"/>
              </w:rPr>
              <w:t>广东省社会科学界联合会</w:t>
            </w:r>
          </w:p>
        </w:tc>
        <w:tc>
          <w:tcPr>
            <w:tcW w:w="1449" w:type="dxa"/>
            <w:tcBorders>
              <w:top w:val="single" w:color="auto" w:sz="6" w:space="0"/>
              <w:left w:val="nil"/>
              <w:bottom w:val="single" w:color="auto" w:sz="6" w:space="0"/>
              <w:right w:val="single" w:color="auto" w:sz="6" w:space="0"/>
            </w:tcBorders>
            <w:noWrap w:val="0"/>
            <w:vAlign w:val="center"/>
          </w:tcPr>
          <w:p>
            <w:pPr>
              <w:pStyle w:val="30"/>
              <w:widowControl w:val="0"/>
              <w:spacing w:line="240" w:lineRule="auto"/>
            </w:pPr>
            <w:r>
              <w:rPr>
                <w:rFonts w:hint="eastAsia"/>
              </w:rPr>
              <w:t>2022年</w:t>
            </w:r>
          </w:p>
        </w:tc>
      </w:tr>
    </w:tbl>
    <w:p>
      <w:pPr>
        <w:spacing w:before="157" w:beforeLines="50"/>
        <w:ind w:firstLine="480"/>
        <w:rPr>
          <w:rFonts w:hint="eastAsia"/>
        </w:rPr>
      </w:pPr>
      <w:r>
        <w:rPr>
          <w:rFonts w:hint="eastAsia"/>
        </w:rPr>
        <w:t>另一方面，面向应用培养研究生的决策咨询研究能力。我院作为广东省委省政府最重要的思想库和智囊团，每年承担大量政府战略决策研究课题，在研究生日常培养中不仅紧密联系国家、省、市经济政策和经济社会发展态势，而且通过直接参与地方重大战略和重要政策问题研究，</w:t>
      </w:r>
      <w:r>
        <w:rPr>
          <w:rFonts w:hint="eastAsia"/>
          <w:lang w:eastAsia="zh-CN"/>
        </w:rPr>
        <w:t>了解国情省情，</w:t>
      </w:r>
      <w:r>
        <w:rPr>
          <w:rFonts w:hint="eastAsia"/>
        </w:rPr>
        <w:t>全方位提高研究生的应用研究能力。</w:t>
      </w:r>
    </w:p>
    <w:p>
      <w:pPr>
        <w:pStyle w:val="4"/>
        <w:keepNext w:val="0"/>
        <w:keepLines w:val="0"/>
        <w:widowControl w:val="0"/>
        <w:ind w:firstLine="602" w:firstLineChars="200"/>
        <w:rPr>
          <w:rFonts w:hint="eastAsia"/>
        </w:rPr>
      </w:pPr>
      <w:bookmarkStart w:id="159" w:name="_Toc29120"/>
      <w:bookmarkStart w:id="160" w:name="_Toc127791878"/>
      <w:bookmarkStart w:id="161" w:name="_Toc24429"/>
      <w:bookmarkStart w:id="162" w:name="_Toc18121"/>
      <w:bookmarkStart w:id="163" w:name="_Toc67497726"/>
      <w:bookmarkStart w:id="164" w:name="_Toc16388"/>
      <w:bookmarkStart w:id="165" w:name="_Toc67497689"/>
      <w:bookmarkStart w:id="166" w:name="_Toc21314"/>
      <w:r>
        <w:rPr>
          <w:rFonts w:hint="eastAsia"/>
        </w:rPr>
        <w:t>（二）教师队伍建设</w:t>
      </w:r>
      <w:bookmarkEnd w:id="159"/>
      <w:bookmarkEnd w:id="160"/>
      <w:bookmarkEnd w:id="161"/>
      <w:bookmarkEnd w:id="162"/>
      <w:bookmarkEnd w:id="163"/>
      <w:bookmarkEnd w:id="164"/>
      <w:bookmarkEnd w:id="165"/>
      <w:bookmarkEnd w:id="166"/>
    </w:p>
    <w:p>
      <w:pPr>
        <w:ind w:firstLine="480"/>
        <w:rPr>
          <w:rFonts w:hint="eastAsia"/>
        </w:rPr>
      </w:pPr>
      <w:r>
        <w:rPr>
          <w:rFonts w:hint="eastAsia"/>
        </w:rPr>
        <w:t>建设一只专业能力强、工作风气正的教师队伍，是保障研究生教学质量的重中之重。我院紧抓教师队伍建设，注重选拔优质师资参与研究生培养工作；通过加强导师培训，聚焦业务提升、</w:t>
      </w:r>
      <w:r>
        <w:rPr>
          <w:rFonts w:hint="eastAsia"/>
          <w:lang w:val="en-US" w:eastAsia="zh-CN"/>
        </w:rPr>
        <w:t>教育教学</w:t>
      </w:r>
      <w:r>
        <w:rPr>
          <w:rFonts w:hint="eastAsia"/>
        </w:rPr>
        <w:t>方法等，促进优秀育人经验交流，不断提升导师的</w:t>
      </w:r>
      <w:r>
        <w:rPr>
          <w:rFonts w:hint="eastAsia"/>
          <w:lang w:val="en-US" w:eastAsia="zh-CN"/>
        </w:rPr>
        <w:t>科教协同</w:t>
      </w:r>
      <w:r>
        <w:rPr>
          <w:rFonts w:hint="eastAsia"/>
        </w:rPr>
        <w:t>育人水平。</w:t>
      </w:r>
    </w:p>
    <w:p>
      <w:pPr>
        <w:ind w:firstLine="480"/>
        <w:rPr>
          <w:rFonts w:hint="eastAsia"/>
          <w:highlight w:val="yellow"/>
        </w:rPr>
      </w:pPr>
      <w:r>
        <w:rPr>
          <w:rFonts w:hint="eastAsia"/>
        </w:rPr>
        <w:t>一是</w:t>
      </w:r>
      <w:r>
        <w:t>严把入口，稳步提升教师队伍</w:t>
      </w:r>
      <w:r>
        <w:rPr>
          <w:rFonts w:hint="eastAsia"/>
          <w:lang w:val="en-US" w:eastAsia="zh-CN"/>
        </w:rPr>
        <w:t>质量</w:t>
      </w:r>
      <w:r>
        <w:t>。通过严把入口、强化培训、鼓励提升等多种方式，促进导师素质整体提升。</w:t>
      </w:r>
      <w:r>
        <w:rPr>
          <w:highlight w:val="none"/>
        </w:rPr>
        <w:t>202</w:t>
      </w:r>
      <w:r>
        <w:rPr>
          <w:rFonts w:hint="eastAsia"/>
          <w:highlight w:val="none"/>
          <w:lang w:eastAsia="zh-CN"/>
        </w:rPr>
        <w:t>3</w:t>
      </w:r>
      <w:r>
        <w:rPr>
          <w:highlight w:val="none"/>
        </w:rPr>
        <w:t>年，我院具有副高及以上职称的</w:t>
      </w:r>
      <w:r>
        <w:rPr>
          <w:rFonts w:hint="eastAsia"/>
          <w:highlight w:val="none"/>
          <w:lang w:val="en-US" w:eastAsia="zh-CN"/>
        </w:rPr>
        <w:t>导师</w:t>
      </w:r>
      <w:r>
        <w:rPr>
          <w:rFonts w:hint="eastAsia"/>
          <w:highlight w:val="none"/>
        </w:rPr>
        <w:t>占比</w:t>
      </w:r>
      <w:r>
        <w:rPr>
          <w:highlight w:val="none"/>
        </w:rPr>
        <w:t>超</w:t>
      </w:r>
      <w:r>
        <w:rPr>
          <w:rFonts w:hint="eastAsia"/>
          <w:highlight w:val="none"/>
          <w:lang w:eastAsia="zh-CN"/>
        </w:rPr>
        <w:t>8</w:t>
      </w:r>
      <w:r>
        <w:rPr>
          <w:rFonts w:hint="eastAsia"/>
          <w:highlight w:val="none"/>
          <w:lang w:val="en-US" w:eastAsia="zh-CN"/>
        </w:rPr>
        <w:t>7</w:t>
      </w:r>
      <w:r>
        <w:rPr>
          <w:highlight w:val="none"/>
        </w:rPr>
        <w:t>%；具有博士学位的</w:t>
      </w:r>
      <w:r>
        <w:rPr>
          <w:rFonts w:hint="eastAsia"/>
          <w:highlight w:val="none"/>
          <w:lang w:val="en-US" w:eastAsia="zh-CN"/>
        </w:rPr>
        <w:t>导师</w:t>
      </w:r>
      <w:r>
        <w:rPr>
          <w:rFonts w:hint="eastAsia"/>
          <w:highlight w:val="none"/>
        </w:rPr>
        <w:t>占比</w:t>
      </w:r>
      <w:r>
        <w:rPr>
          <w:highlight w:val="none"/>
        </w:rPr>
        <w:t>接近</w:t>
      </w:r>
      <w:r>
        <w:rPr>
          <w:rFonts w:hint="eastAsia"/>
          <w:highlight w:val="none"/>
        </w:rPr>
        <w:t>100%</w:t>
      </w:r>
      <w:r>
        <w:rPr>
          <w:highlight w:val="none"/>
        </w:rPr>
        <w:t>。</w:t>
      </w:r>
    </w:p>
    <w:p>
      <w:pPr>
        <w:ind w:firstLine="480"/>
        <w:rPr>
          <w:rFonts w:hint="eastAsia"/>
        </w:rPr>
      </w:pPr>
      <w:r>
        <w:t>二是科教产融合</w:t>
      </w:r>
      <w:r>
        <w:rPr>
          <w:rFonts w:hint="eastAsia"/>
          <w:lang w:eastAsia="zh-CN"/>
        </w:rPr>
        <w:t>，</w:t>
      </w:r>
      <w:r>
        <w:rPr>
          <w:rFonts w:hint="eastAsia"/>
          <w:lang w:val="en-US" w:eastAsia="zh-CN"/>
        </w:rPr>
        <w:t>持续优化</w:t>
      </w:r>
      <w:r>
        <w:t>教师队伍建设。</w:t>
      </w:r>
      <w:r>
        <w:rPr>
          <w:rFonts w:hint="eastAsia"/>
          <w:lang w:val="en-US" w:eastAsia="zh-CN"/>
        </w:rPr>
        <w:t>一方面，</w:t>
      </w:r>
      <w:r>
        <w:t>立足我院特色，发挥科教产融合育人优势，鼓励活跃在学术研究前沿的研究员和刚刚毕业处于</w:t>
      </w:r>
      <w:r>
        <w:rPr>
          <w:rFonts w:hint="eastAsia"/>
          <w:lang w:val="en-US" w:eastAsia="zh-CN"/>
        </w:rPr>
        <w:t>科研</w:t>
      </w:r>
      <w:r>
        <w:t>活跃期的青年科研人员承担研究生指导及课程教学工作；</w:t>
      </w:r>
      <w:r>
        <w:rPr>
          <w:rFonts w:hint="eastAsia"/>
          <w:lang w:val="en-US" w:eastAsia="zh-CN"/>
        </w:rPr>
        <w:t>另一方面，</w:t>
      </w:r>
      <w:r>
        <w:t>完善产教融合育人机制，加大院外实践基地建设力度，</w:t>
      </w:r>
      <w:r>
        <w:rPr>
          <w:rFonts w:hint="eastAsia"/>
        </w:rPr>
        <w:t>为</w:t>
      </w:r>
      <w:r>
        <w:t>培养理论和实践能力兼备的研究生提供高质量</w:t>
      </w:r>
      <w:r>
        <w:rPr>
          <w:rFonts w:hint="eastAsia"/>
          <w:lang w:val="en-US" w:eastAsia="zh-CN"/>
        </w:rPr>
        <w:t>科研实践</w:t>
      </w:r>
      <w:r>
        <w:t>平台。</w:t>
      </w:r>
    </w:p>
    <w:p>
      <w:pPr>
        <w:pStyle w:val="4"/>
        <w:keepNext w:val="0"/>
        <w:keepLines w:val="0"/>
        <w:widowControl w:val="0"/>
        <w:ind w:firstLine="602" w:firstLineChars="200"/>
        <w:rPr>
          <w:rFonts w:hint="eastAsia"/>
        </w:rPr>
      </w:pPr>
      <w:bookmarkStart w:id="167" w:name="_Toc67497727"/>
      <w:bookmarkStart w:id="168" w:name="_Toc12116"/>
      <w:bookmarkStart w:id="169" w:name="_Toc127791879"/>
      <w:bookmarkStart w:id="170" w:name="_Toc30473"/>
      <w:bookmarkStart w:id="171" w:name="_Toc19177"/>
      <w:bookmarkStart w:id="172" w:name="_Toc1745"/>
      <w:bookmarkStart w:id="173" w:name="_Toc22060"/>
      <w:bookmarkStart w:id="174" w:name="_Toc67497690"/>
      <w:r>
        <w:rPr>
          <w:rFonts w:hint="eastAsia"/>
        </w:rPr>
        <w:t>（三）科学研究</w:t>
      </w:r>
      <w:bookmarkEnd w:id="167"/>
      <w:bookmarkEnd w:id="168"/>
      <w:bookmarkEnd w:id="169"/>
      <w:bookmarkEnd w:id="170"/>
      <w:bookmarkEnd w:id="171"/>
      <w:bookmarkEnd w:id="172"/>
      <w:bookmarkEnd w:id="173"/>
      <w:bookmarkEnd w:id="174"/>
    </w:p>
    <w:p>
      <w:pPr>
        <w:ind w:firstLine="480"/>
        <w:rPr>
          <w:rFonts w:hint="eastAsia"/>
          <w:highlight w:val="yellow"/>
        </w:rPr>
      </w:pPr>
      <w:r>
        <w:rPr>
          <w:rFonts w:hint="eastAsia"/>
          <w:highlight w:val="none"/>
        </w:rPr>
        <w:t>多年来我院始终遵循“因材施教”原则</w:t>
      </w:r>
      <w:r>
        <w:rPr>
          <w:rFonts w:hint="eastAsia"/>
          <w:highlight w:val="none"/>
          <w:lang w:eastAsia="zh-CN"/>
        </w:rPr>
        <w:t>，</w:t>
      </w:r>
      <w:r>
        <w:rPr>
          <w:rFonts w:hint="eastAsia"/>
          <w:highlight w:val="none"/>
          <w:lang w:val="en-US" w:eastAsia="zh-CN"/>
        </w:rPr>
        <w:t>依托优质的</w:t>
      </w:r>
      <w:r>
        <w:rPr>
          <w:rFonts w:hint="eastAsia"/>
          <w:highlight w:val="none"/>
          <w:lang w:eastAsia="zh-CN"/>
        </w:rPr>
        <w:t>师资条件和丰富的学术资源</w:t>
      </w:r>
      <w:r>
        <w:rPr>
          <w:rFonts w:hint="eastAsia"/>
          <w:highlight w:val="none"/>
        </w:rPr>
        <w:t>，</w:t>
      </w:r>
      <w:r>
        <w:rPr>
          <w:rFonts w:hint="eastAsia"/>
          <w:highlight w:val="none"/>
          <w:lang w:val="en-US" w:eastAsia="zh-CN"/>
        </w:rPr>
        <w:t>不断提升</w:t>
      </w:r>
      <w:r>
        <w:rPr>
          <w:rFonts w:hint="eastAsia"/>
          <w:highlight w:val="none"/>
        </w:rPr>
        <w:t>研究生</w:t>
      </w:r>
      <w:r>
        <w:rPr>
          <w:rFonts w:hint="eastAsia"/>
          <w:highlight w:val="none"/>
          <w:lang w:val="en-US" w:eastAsia="zh-CN"/>
        </w:rPr>
        <w:t>的科学研究能力</w:t>
      </w:r>
      <w:r>
        <w:rPr>
          <w:rFonts w:hint="eastAsia"/>
          <w:highlight w:val="none"/>
        </w:rPr>
        <w:t>。</w:t>
      </w:r>
    </w:p>
    <w:p>
      <w:pPr>
        <w:ind w:firstLine="480"/>
        <w:rPr>
          <w:rFonts w:hint="eastAsia"/>
        </w:rPr>
      </w:pPr>
      <w:r>
        <w:rPr>
          <w:rFonts w:hint="eastAsia"/>
        </w:rPr>
        <w:t>一是持续践行精细化“师徒制”培养方式。导师组联合培养研究生是我院长期以来的重要历史传承，该传统有利于拓宽研究生知识面，博采众家之长。202</w:t>
      </w:r>
      <w:r>
        <w:rPr>
          <w:rFonts w:hint="eastAsia"/>
          <w:lang w:val="en-US" w:eastAsia="zh-CN"/>
        </w:rPr>
        <w:t>3</w:t>
      </w:r>
      <w:r>
        <w:rPr>
          <w:rFonts w:hint="eastAsia"/>
        </w:rPr>
        <w:t>年，结合师生比接近1:1的现实情况，我院持续践行师徒制、精英化、“多带一”等培养方式，针对学生需求挖掘学生潜力，根据学生兴趣和禀赋因材施教，</w:t>
      </w:r>
      <w:r>
        <w:rPr>
          <w:rFonts w:hint="eastAsia"/>
          <w:lang w:val="en-US" w:eastAsia="zh-CN"/>
        </w:rPr>
        <w:t>通过指导学术论文写作等方式</w:t>
      </w:r>
      <w:r>
        <w:rPr>
          <w:rFonts w:hint="eastAsia"/>
        </w:rPr>
        <w:t>充分释放</w:t>
      </w:r>
      <w:r>
        <w:rPr>
          <w:rFonts w:hint="eastAsia"/>
          <w:lang w:val="en-US" w:eastAsia="zh-CN"/>
        </w:rPr>
        <w:t>学生科研活力</w:t>
      </w:r>
      <w:r>
        <w:rPr>
          <w:rFonts w:hint="eastAsia"/>
        </w:rPr>
        <w:t>。</w:t>
      </w:r>
    </w:p>
    <w:p>
      <w:pPr>
        <w:spacing w:before="0" w:beforeLines="0"/>
        <w:ind w:firstLine="480"/>
        <w:rPr>
          <w:rFonts w:hint="eastAsia"/>
        </w:rPr>
      </w:pPr>
      <w:r>
        <w:rPr>
          <w:rFonts w:hint="eastAsia"/>
        </w:rPr>
        <w:t>二是以丰富的学术资源支撑</w:t>
      </w:r>
      <w:r>
        <w:rPr>
          <w:rFonts w:hint="eastAsia"/>
          <w:lang w:val="en-US" w:eastAsia="zh-CN"/>
        </w:rPr>
        <w:t>科教</w:t>
      </w:r>
      <w:r>
        <w:rPr>
          <w:rFonts w:hint="eastAsia"/>
        </w:rPr>
        <w:t>融合</w:t>
      </w:r>
      <w:r>
        <w:rPr>
          <w:rFonts w:hint="eastAsia"/>
          <w:lang w:val="en-US" w:eastAsia="zh-CN"/>
        </w:rPr>
        <w:t>协同育人</w:t>
      </w:r>
      <w:r>
        <w:rPr>
          <w:rFonts w:hint="eastAsia"/>
        </w:rPr>
        <w:t>。我院导师承担的大量国家、省、市社科规划课题</w:t>
      </w:r>
      <w:r>
        <w:rPr>
          <w:rFonts w:hint="eastAsia"/>
          <w:lang w:val="en-US" w:eastAsia="zh-CN"/>
        </w:rPr>
        <w:t>及委托研究课题</w:t>
      </w:r>
      <w:r>
        <w:rPr>
          <w:rFonts w:hint="eastAsia"/>
        </w:rPr>
        <w:t>均为研究生提供参与机会。各</w:t>
      </w:r>
      <w:r>
        <w:rPr>
          <w:rFonts w:hint="eastAsia"/>
          <w:lang w:val="en-US" w:eastAsia="zh-CN"/>
        </w:rPr>
        <w:t>学科</w:t>
      </w:r>
      <w:r>
        <w:rPr>
          <w:rFonts w:hint="eastAsia"/>
        </w:rPr>
        <w:t>方向研究生在导师带领下依托承接的纵向和横向课题开展</w:t>
      </w:r>
      <w:r>
        <w:rPr>
          <w:rFonts w:hint="eastAsia"/>
          <w:lang w:val="en-US" w:eastAsia="zh-CN"/>
        </w:rPr>
        <w:t>科学研究</w:t>
      </w:r>
      <w:r>
        <w:rPr>
          <w:rFonts w:hint="eastAsia"/>
        </w:rPr>
        <w:t>，实现了教学与研究的无缝对接和有机融合</w:t>
      </w:r>
      <w:r>
        <w:rPr>
          <w:rFonts w:hint="eastAsia"/>
          <w:lang w:eastAsia="zh-CN"/>
        </w:rPr>
        <w:t>，</w:t>
      </w:r>
      <w:r>
        <w:rPr>
          <w:rFonts w:hint="eastAsia"/>
        </w:rPr>
        <w:t>为学生熟悉地方经济社会发展情况、学以致用打下了良好基础。</w:t>
      </w:r>
    </w:p>
    <w:p>
      <w:pPr>
        <w:spacing w:before="0" w:beforeLines="0"/>
        <w:ind w:firstLine="480"/>
        <w:rPr>
          <w:rFonts w:hint="default"/>
          <w:lang w:val="en-US" w:eastAsia="zh-CN"/>
        </w:rPr>
      </w:pPr>
      <w:r>
        <w:rPr>
          <w:rFonts w:hint="eastAsia"/>
          <w:lang w:val="en-US" w:eastAsia="zh-CN"/>
        </w:rPr>
        <w:t>三是以项目研究强化科研能力训练</w:t>
      </w:r>
      <w:r>
        <w:rPr>
          <w:rFonts w:hint="default"/>
          <w:lang w:val="en-US" w:eastAsia="zh-CN"/>
        </w:rPr>
        <w:t>。</w:t>
      </w:r>
      <w:r>
        <w:rPr>
          <w:rFonts w:hint="eastAsia"/>
          <w:lang w:val="en-US" w:eastAsia="zh-CN"/>
        </w:rPr>
        <w:t>依托《广东省社会科学院科研事业发展“十四五”规划》，实施</w:t>
      </w:r>
      <w:r>
        <w:rPr>
          <w:rFonts w:hint="default"/>
          <w:lang w:val="en-US" w:eastAsia="zh-CN"/>
        </w:rPr>
        <w:t>研究生科研创新能力提升计划</w:t>
      </w:r>
      <w:r>
        <w:rPr>
          <w:rFonts w:hint="eastAsia"/>
          <w:lang w:val="en-US" w:eastAsia="zh-CN"/>
        </w:rPr>
        <w:t>，鼓励</w:t>
      </w:r>
      <w:r>
        <w:rPr>
          <w:rFonts w:hint="default"/>
          <w:lang w:val="en-US" w:eastAsia="zh-CN"/>
        </w:rPr>
        <w:t>研究生</w:t>
      </w:r>
      <w:r>
        <w:rPr>
          <w:rFonts w:hint="eastAsia"/>
          <w:lang w:val="en-US" w:eastAsia="zh-CN"/>
        </w:rPr>
        <w:t>积极申报</w:t>
      </w:r>
      <w:r>
        <w:rPr>
          <w:rFonts w:hint="default"/>
          <w:lang w:val="en-US" w:eastAsia="zh-CN"/>
        </w:rPr>
        <w:t>科研创新项目，支持研究生建立团队开展前沿研究，提升</w:t>
      </w:r>
      <w:r>
        <w:rPr>
          <w:rFonts w:hint="eastAsia"/>
          <w:lang w:val="en-US" w:eastAsia="zh-CN"/>
        </w:rPr>
        <w:t>自身</w:t>
      </w:r>
      <w:r>
        <w:rPr>
          <w:rFonts w:hint="default"/>
          <w:lang w:val="en-US" w:eastAsia="zh-CN"/>
        </w:rPr>
        <w:t>科研创新能力。</w:t>
      </w:r>
    </w:p>
    <w:p>
      <w:pPr>
        <w:ind w:firstLine="480"/>
        <w:rPr>
          <w:rFonts w:hint="default" w:eastAsia="宋体"/>
          <w:lang w:val="en-US" w:eastAsia="zh-CN"/>
        </w:rPr>
      </w:pPr>
      <w:r>
        <w:rPr>
          <w:rFonts w:hint="eastAsia"/>
        </w:rPr>
        <w:t>基于上述特色培养方式，我院研究生取得了丰硕的科研成果。202</w:t>
      </w:r>
      <w:r>
        <w:rPr>
          <w:rFonts w:hint="eastAsia"/>
          <w:lang w:val="en-US" w:eastAsia="zh-CN"/>
        </w:rPr>
        <w:t>3</w:t>
      </w:r>
      <w:r>
        <w:rPr>
          <w:rFonts w:hint="eastAsia"/>
        </w:rPr>
        <w:t>年，我院研究生发表学术论文</w:t>
      </w:r>
      <w:r>
        <w:rPr>
          <w:rFonts w:hint="eastAsia"/>
          <w:lang w:val="en-US" w:eastAsia="zh-CN"/>
        </w:rPr>
        <w:t>27</w:t>
      </w:r>
      <w:r>
        <w:rPr>
          <w:rFonts w:hint="eastAsia"/>
        </w:rPr>
        <w:t>篇（见表1</w:t>
      </w:r>
      <w:r>
        <w:rPr>
          <w:rFonts w:hint="eastAsia"/>
          <w:lang w:val="en-US" w:eastAsia="zh-CN"/>
        </w:rPr>
        <w:t>6</w:t>
      </w:r>
      <w:r>
        <w:rPr>
          <w:rFonts w:hint="eastAsia"/>
        </w:rPr>
        <w:t>）。</w:t>
      </w:r>
      <w:r>
        <w:rPr>
          <w:rFonts w:hint="eastAsia"/>
          <w:lang w:val="en-US" w:eastAsia="zh-CN"/>
        </w:rPr>
        <w:t>其中，两篇文章获人大复印资料全文转载。</w:t>
      </w:r>
    </w:p>
    <w:p>
      <w:pPr>
        <w:pStyle w:val="6"/>
        <w:keepNext w:val="0"/>
        <w:keepLines w:val="0"/>
        <w:spacing w:before="95" w:beforeLines="30" w:after="157" w:afterLines="50" w:line="240" w:lineRule="auto"/>
        <w:outlineLvl w:val="2"/>
        <w:rPr>
          <w:rFonts w:hint="default" w:ascii="Times New Roman" w:hAnsi="Times New Roman"/>
          <w:highlight w:val="none"/>
        </w:rPr>
      </w:pPr>
      <w:r>
        <w:rPr>
          <w:rFonts w:hint="default" w:ascii="Times New Roman" w:hAnsi="Times New Roman"/>
          <w:b/>
          <w:bCs w:val="0"/>
          <w:highlight w:val="none"/>
        </w:rPr>
        <w:t>表</w:t>
      </w:r>
      <w:r>
        <w:rPr>
          <w:rFonts w:hint="default" w:ascii="Times New Roman" w:hAnsi="Times New Roman"/>
          <w:b/>
          <w:bCs w:val="0"/>
          <w:highlight w:val="none"/>
        </w:rPr>
        <w:fldChar w:fldCharType="begin"/>
      </w:r>
      <w:r>
        <w:rPr>
          <w:rFonts w:hint="default" w:ascii="Times New Roman" w:hAnsi="Times New Roman"/>
          <w:b/>
          <w:bCs w:val="0"/>
          <w:highlight w:val="none"/>
        </w:rPr>
        <w:instrText xml:space="preserve"> SEQ 表 \* ARABIC </w:instrText>
      </w:r>
      <w:r>
        <w:rPr>
          <w:rFonts w:hint="default" w:ascii="Times New Roman" w:hAnsi="Times New Roman"/>
          <w:b/>
          <w:bCs w:val="0"/>
          <w:highlight w:val="none"/>
        </w:rPr>
        <w:fldChar w:fldCharType="separate"/>
      </w:r>
      <w:r>
        <w:rPr>
          <w:rFonts w:ascii="Times New Roman" w:hAnsi="Times New Roman"/>
          <w:b/>
          <w:bCs w:val="0"/>
          <w:highlight w:val="none"/>
        </w:rPr>
        <w:t>1</w:t>
      </w:r>
      <w:r>
        <w:rPr>
          <w:rFonts w:hint="default" w:ascii="Times New Roman" w:hAnsi="Times New Roman"/>
          <w:b/>
          <w:bCs w:val="0"/>
          <w:highlight w:val="none"/>
        </w:rPr>
        <w:fldChar w:fldCharType="end"/>
      </w:r>
      <w:r>
        <w:rPr>
          <w:rFonts w:hint="eastAsia" w:ascii="Times New Roman" w:hAnsi="Times New Roman"/>
          <w:b/>
          <w:bCs w:val="0"/>
          <w:highlight w:val="none"/>
          <w:lang w:eastAsia="zh-CN"/>
        </w:rPr>
        <w:t>6</w:t>
      </w:r>
      <w:r>
        <w:rPr>
          <w:rFonts w:hint="default" w:ascii="Times New Roman" w:hAnsi="Times New Roman"/>
          <w:b/>
          <w:bCs w:val="0"/>
          <w:highlight w:val="none"/>
        </w:rPr>
        <w:t xml:space="preserve">  202</w:t>
      </w:r>
      <w:r>
        <w:rPr>
          <w:rFonts w:hint="eastAsia" w:ascii="Times New Roman" w:hAnsi="Times New Roman"/>
          <w:b/>
          <w:bCs w:val="0"/>
          <w:highlight w:val="none"/>
          <w:lang w:eastAsia="zh-CN"/>
        </w:rPr>
        <w:t>3</w:t>
      </w:r>
      <w:r>
        <w:rPr>
          <w:rFonts w:hint="default" w:ascii="Times New Roman" w:hAnsi="Times New Roman"/>
          <w:b/>
          <w:bCs w:val="0"/>
          <w:highlight w:val="none"/>
        </w:rPr>
        <w:t>年研究生发表论文情况</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4855"/>
        <w:gridCol w:w="174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21"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szCs w:val="21"/>
              </w:rPr>
            </w:pPr>
            <w:r>
              <w:rPr>
                <w:szCs w:val="21"/>
              </w:rPr>
              <w:t>序号</w:t>
            </w:r>
          </w:p>
        </w:tc>
        <w:tc>
          <w:tcPr>
            <w:tcW w:w="4855"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szCs w:val="21"/>
              </w:rPr>
            </w:pPr>
            <w:r>
              <w:rPr>
                <w:szCs w:val="21"/>
              </w:rPr>
              <w:t>名称</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szCs w:val="21"/>
              </w:rPr>
            </w:pPr>
            <w:r>
              <w:rPr>
                <w:szCs w:val="21"/>
              </w:rPr>
              <w:t>期刊</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szCs w:val="21"/>
              </w:rPr>
            </w:pPr>
            <w:r>
              <w:rPr>
                <w:szCs w:val="21"/>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rFonts w:hint="eastAsia" w:eastAsia="宋体"/>
                <w:szCs w:val="21"/>
                <w:lang w:val="en-US" w:eastAsia="zh-CN"/>
              </w:rPr>
            </w:pPr>
            <w:r>
              <w:rPr>
                <w:rFonts w:hint="eastAsia"/>
                <w:szCs w:val="21"/>
                <w:lang w:val="en-US" w:eastAsia="zh-CN"/>
              </w:rPr>
              <w:t>1</w:t>
            </w:r>
          </w:p>
        </w:tc>
        <w:tc>
          <w:tcPr>
            <w:tcW w:w="485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kern w:val="2"/>
                <w:sz w:val="24"/>
                <w:szCs w:val="21"/>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流动青年的社会参与及影响因素研究</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kern w:val="2"/>
                <w:sz w:val="24"/>
                <w:szCs w:val="21"/>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《中国青年社会科学》</w:t>
            </w:r>
            <w:r>
              <w:rPr>
                <w:rFonts w:hint="eastAsia" w:cs="Times New Roman"/>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人大复印资料《青少年导刊》2023年第12期全文转载</w:t>
            </w:r>
          </w:p>
        </w:tc>
        <w:tc>
          <w:tcPr>
            <w:tcW w:w="1206" w:type="dxa"/>
            <w:vMerge w:val="restart"/>
            <w:tcBorders>
              <w:top w:val="single" w:color="auto" w:sz="4" w:space="0"/>
              <w:left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CSSCI、北大核心期刊</w:t>
            </w:r>
          </w:p>
          <w:p>
            <w:pPr>
              <w:widowControl/>
              <w:spacing w:line="240" w:lineRule="auto"/>
              <w:ind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p>
            <w:pPr>
              <w:widowControl/>
              <w:spacing w:line="240" w:lineRule="auto"/>
              <w:ind w:firstLine="0" w:firstLineChars="0"/>
              <w:jc w:val="center"/>
              <w:textAlignment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rFonts w:hint="eastAsia" w:eastAsia="宋体"/>
                <w:szCs w:val="21"/>
                <w:lang w:eastAsia="zh-CN"/>
              </w:rPr>
            </w:pPr>
            <w:r>
              <w:rPr>
                <w:rFonts w:hint="eastAsia"/>
                <w:szCs w:val="21"/>
                <w:lang w:val="en-US" w:eastAsia="zh-CN"/>
              </w:rPr>
              <w:t>2</w:t>
            </w:r>
          </w:p>
        </w:tc>
        <w:tc>
          <w:tcPr>
            <w:tcW w:w="485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宋体" w:cs="Times New Roman"/>
                <w:i w:val="0"/>
                <w:iCs w:val="0"/>
                <w:color w:val="000000"/>
                <w:kern w:val="0"/>
                <w:sz w:val="22"/>
                <w:szCs w:val="22"/>
                <w:u w:val="none"/>
                <w:lang w:val="en-US" w:eastAsia="zh-CN" w:bidi="ar"/>
              </w:rPr>
              <w:t>数字技术发展能促进大湾区保险消费吗？</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宋体" w:cs="Times New Roman"/>
                <w:i w:val="0"/>
                <w:iCs w:val="0"/>
                <w:color w:val="000000"/>
                <w:kern w:val="0"/>
                <w:sz w:val="22"/>
                <w:szCs w:val="22"/>
                <w:u w:val="none"/>
                <w:lang w:val="en-US" w:eastAsia="zh-CN" w:bidi="ar"/>
              </w:rPr>
              <w:t>《消费经济》</w:t>
            </w:r>
          </w:p>
        </w:tc>
        <w:tc>
          <w:tcPr>
            <w:tcW w:w="1206" w:type="dxa"/>
            <w:vMerge w:val="continue"/>
            <w:tcBorders>
              <w:left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rFonts w:hint="eastAsia" w:eastAsia="宋体"/>
                <w:szCs w:val="21"/>
                <w:lang w:eastAsia="zh-CN"/>
              </w:rPr>
            </w:pPr>
            <w:r>
              <w:rPr>
                <w:rFonts w:hint="eastAsia"/>
                <w:szCs w:val="21"/>
                <w:lang w:val="en-US" w:eastAsia="zh-CN"/>
              </w:rPr>
              <w:t>3</w:t>
            </w:r>
          </w:p>
        </w:tc>
        <w:tc>
          <w:tcPr>
            <w:tcW w:w="485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环境规制、科技创新投入与经济发展质量</w:t>
            </w:r>
          </w:p>
          <w:p>
            <w:pPr>
              <w:widowControl/>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宋体" w:cs="Times New Roman"/>
                <w:i w:val="0"/>
                <w:iCs w:val="0"/>
                <w:color w:val="000000"/>
                <w:kern w:val="0"/>
                <w:sz w:val="22"/>
                <w:szCs w:val="22"/>
                <w:u w:val="none"/>
                <w:lang w:val="en-US" w:eastAsia="zh-CN" w:bidi="ar"/>
              </w:rPr>
              <w:t>——来自中国地级市层面的证据</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宋体" w:cs="Times New Roman"/>
                <w:i w:val="0"/>
                <w:iCs w:val="0"/>
                <w:color w:val="000000"/>
                <w:kern w:val="0"/>
                <w:sz w:val="22"/>
                <w:szCs w:val="22"/>
                <w:u w:val="none"/>
                <w:lang w:val="en-US" w:eastAsia="zh-CN" w:bidi="ar"/>
              </w:rPr>
              <w:t>《南方经济》</w:t>
            </w:r>
          </w:p>
        </w:tc>
        <w:tc>
          <w:tcPr>
            <w:tcW w:w="1206" w:type="dxa"/>
            <w:vMerge w:val="continue"/>
            <w:tcBorders>
              <w:left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rFonts w:hint="eastAsia" w:eastAsia="宋体"/>
                <w:szCs w:val="21"/>
                <w:lang w:eastAsia="zh-CN"/>
              </w:rPr>
            </w:pPr>
            <w:r>
              <w:rPr>
                <w:rFonts w:hint="eastAsia"/>
                <w:szCs w:val="21"/>
                <w:lang w:val="en-US" w:eastAsia="zh-CN"/>
              </w:rPr>
              <w:t>4</w:t>
            </w:r>
          </w:p>
        </w:tc>
        <w:tc>
          <w:tcPr>
            <w:tcW w:w="485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宋体" w:cs="Times New Roman"/>
                <w:i w:val="0"/>
                <w:iCs w:val="0"/>
                <w:color w:val="000000"/>
                <w:kern w:val="0"/>
                <w:sz w:val="22"/>
                <w:szCs w:val="22"/>
                <w:u w:val="none"/>
                <w:lang w:val="en-US" w:eastAsia="zh-CN" w:bidi="ar"/>
              </w:rPr>
              <w:t>数字化转型对中国企业国际化发展的影响</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宋体" w:cs="Times New Roman"/>
                <w:i w:val="0"/>
                <w:iCs w:val="0"/>
                <w:color w:val="000000"/>
                <w:kern w:val="0"/>
                <w:sz w:val="22"/>
                <w:szCs w:val="22"/>
                <w:u w:val="none"/>
                <w:lang w:val="en-US" w:eastAsia="zh-CN" w:bidi="ar"/>
              </w:rPr>
              <w:t>《华南师范大学学报</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社会科学版</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w:t>
            </w:r>
          </w:p>
        </w:tc>
        <w:tc>
          <w:tcPr>
            <w:tcW w:w="1206" w:type="dxa"/>
            <w:vMerge w:val="continue"/>
            <w:tcBorders>
              <w:left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rFonts w:hint="eastAsia" w:eastAsia="宋体"/>
                <w:szCs w:val="21"/>
                <w:lang w:eastAsia="zh-CN"/>
              </w:rPr>
            </w:pPr>
            <w:r>
              <w:rPr>
                <w:rFonts w:hint="eastAsia"/>
                <w:szCs w:val="21"/>
                <w:lang w:val="en-US" w:eastAsia="zh-CN"/>
              </w:rPr>
              <w:t>5</w:t>
            </w:r>
          </w:p>
        </w:tc>
        <w:tc>
          <w:tcPr>
            <w:tcW w:w="485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宋体" w:cs="Times New Roman"/>
                <w:i w:val="0"/>
                <w:iCs w:val="0"/>
                <w:color w:val="000000"/>
                <w:kern w:val="0"/>
                <w:sz w:val="22"/>
                <w:szCs w:val="22"/>
                <w:u w:val="none"/>
                <w:lang w:val="en-US" w:eastAsia="zh-CN" w:bidi="ar"/>
              </w:rPr>
              <w:t>数字化转型对企业国际化发展韧性的影响研究</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宋体" w:cs="Times New Roman"/>
                <w:i w:val="0"/>
                <w:iCs w:val="0"/>
                <w:color w:val="000000"/>
                <w:kern w:val="0"/>
                <w:sz w:val="22"/>
                <w:szCs w:val="22"/>
                <w:u w:val="none"/>
                <w:lang w:val="en-US" w:eastAsia="zh-CN" w:bidi="ar"/>
              </w:rPr>
              <w:t>《学术研究》</w:t>
            </w:r>
          </w:p>
        </w:tc>
        <w:tc>
          <w:tcPr>
            <w:tcW w:w="1206" w:type="dxa"/>
            <w:vMerge w:val="continue"/>
            <w:tcBorders>
              <w:left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rFonts w:hint="eastAsia" w:eastAsia="宋体"/>
                <w:szCs w:val="21"/>
                <w:lang w:eastAsia="zh-CN"/>
              </w:rPr>
            </w:pPr>
            <w:r>
              <w:rPr>
                <w:rFonts w:hint="eastAsia"/>
                <w:szCs w:val="21"/>
                <w:lang w:val="en-US" w:eastAsia="zh-CN"/>
              </w:rPr>
              <w:t>6</w:t>
            </w:r>
          </w:p>
        </w:tc>
        <w:tc>
          <w:tcPr>
            <w:tcW w:w="485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宋体" w:cs="Times New Roman"/>
                <w:i w:val="0"/>
                <w:iCs w:val="0"/>
                <w:color w:val="000000"/>
                <w:kern w:val="0"/>
                <w:sz w:val="22"/>
                <w:szCs w:val="22"/>
                <w:u w:val="none"/>
                <w:lang w:val="en-US" w:eastAsia="zh-CN" w:bidi="ar"/>
              </w:rPr>
              <w:t>粤港澳大湾区产业结构与就业结构的协调性研究</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宋体" w:cs="Times New Roman"/>
                <w:i w:val="0"/>
                <w:iCs w:val="0"/>
                <w:color w:val="000000"/>
                <w:kern w:val="0"/>
                <w:sz w:val="22"/>
                <w:szCs w:val="22"/>
                <w:u w:val="none"/>
                <w:lang w:val="en-US" w:eastAsia="zh-CN" w:bidi="ar"/>
              </w:rPr>
              <w:t>《亚太经济》</w:t>
            </w:r>
          </w:p>
        </w:tc>
        <w:tc>
          <w:tcPr>
            <w:tcW w:w="1206" w:type="dxa"/>
            <w:vMerge w:val="continue"/>
            <w:tcBorders>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rFonts w:hint="eastAsia" w:eastAsia="宋体"/>
                <w:szCs w:val="21"/>
                <w:lang w:eastAsia="zh-CN"/>
              </w:rPr>
            </w:pPr>
            <w:r>
              <w:rPr>
                <w:rFonts w:hint="eastAsia"/>
                <w:szCs w:val="21"/>
                <w:lang w:val="en-US" w:eastAsia="zh-CN"/>
              </w:rPr>
              <w:t>7</w:t>
            </w:r>
          </w:p>
        </w:tc>
        <w:tc>
          <w:tcPr>
            <w:tcW w:w="485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绿色转型的演化经济学分析:基本思路与政策</w:t>
            </w:r>
          </w:p>
          <w:p>
            <w:pPr>
              <w:widowControl/>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宋体" w:cs="Times New Roman"/>
                <w:i w:val="0"/>
                <w:iCs w:val="0"/>
                <w:color w:val="000000"/>
                <w:kern w:val="0"/>
                <w:sz w:val="22"/>
                <w:szCs w:val="22"/>
                <w:u w:val="none"/>
                <w:lang w:val="en-US" w:eastAsia="zh-CN" w:bidi="ar"/>
              </w:rPr>
              <w:t>框架</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宋体" w:cs="Times New Roman"/>
                <w:i w:val="0"/>
                <w:iCs w:val="0"/>
                <w:color w:val="000000"/>
                <w:kern w:val="0"/>
                <w:sz w:val="22"/>
                <w:szCs w:val="22"/>
                <w:u w:val="none"/>
                <w:lang w:val="en-US" w:eastAsia="zh-CN" w:bidi="ar"/>
              </w:rPr>
              <w:t>《演化与创新经济学评论》</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宋体" w:cs="Times New Roman"/>
                <w:i w:val="0"/>
                <w:iCs w:val="0"/>
                <w:color w:val="000000"/>
                <w:kern w:val="0"/>
                <w:sz w:val="22"/>
                <w:szCs w:val="22"/>
                <w:u w:val="none"/>
                <w:lang w:val="en-US" w:eastAsia="zh-CN" w:bidi="ar"/>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rFonts w:hint="eastAsia" w:eastAsia="宋体"/>
                <w:szCs w:val="21"/>
                <w:lang w:eastAsia="zh-CN"/>
              </w:rPr>
            </w:pPr>
            <w:r>
              <w:rPr>
                <w:rFonts w:hint="eastAsia"/>
                <w:szCs w:val="21"/>
                <w:lang w:val="en-US" w:eastAsia="zh-CN"/>
              </w:rPr>
              <w:t>8</w:t>
            </w:r>
          </w:p>
        </w:tc>
        <w:tc>
          <w:tcPr>
            <w:tcW w:w="485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宋体" w:cs="Times New Roman"/>
                <w:i w:val="0"/>
                <w:iCs w:val="0"/>
                <w:color w:val="000000"/>
                <w:kern w:val="0"/>
                <w:sz w:val="22"/>
                <w:szCs w:val="22"/>
                <w:u w:val="none"/>
                <w:lang w:val="en-US" w:eastAsia="zh-CN" w:bidi="ar"/>
              </w:rPr>
              <w:t>物流高质量发展对区域经济的影响——基于广东省地级以上城市的实证分析</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宋体" w:cs="Times New Roman"/>
                <w:i w:val="0"/>
                <w:iCs w:val="0"/>
                <w:color w:val="000000"/>
                <w:kern w:val="0"/>
                <w:sz w:val="22"/>
                <w:szCs w:val="22"/>
                <w:u w:val="none"/>
                <w:lang w:val="en-US" w:eastAsia="zh-CN" w:bidi="ar"/>
              </w:rPr>
              <w:t>《商业经济研究》</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宋体" w:cs="Times New Roman"/>
                <w:i w:val="0"/>
                <w:iCs w:val="0"/>
                <w:color w:val="000000"/>
                <w:kern w:val="0"/>
                <w:sz w:val="22"/>
                <w:szCs w:val="22"/>
                <w:u w:val="none"/>
                <w:lang w:val="en-US" w:eastAsia="zh-CN" w:bidi="ar"/>
              </w:rPr>
              <w:t>北大核心期刊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rFonts w:hint="eastAsia" w:eastAsia="宋体"/>
                <w:szCs w:val="21"/>
                <w:lang w:eastAsia="zh-CN"/>
              </w:rPr>
            </w:pPr>
            <w:r>
              <w:rPr>
                <w:rFonts w:hint="eastAsia"/>
                <w:szCs w:val="21"/>
                <w:lang w:val="en-US" w:eastAsia="zh-CN"/>
              </w:rPr>
              <w:t>9</w:t>
            </w:r>
          </w:p>
        </w:tc>
        <w:tc>
          <w:tcPr>
            <w:tcW w:w="485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基于耦合视角的文化与旅游产业融合发展时空</w:t>
            </w:r>
          </w:p>
          <w:p>
            <w:pPr>
              <w:widowControl/>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宋体" w:cs="Times New Roman"/>
                <w:i w:val="0"/>
                <w:iCs w:val="0"/>
                <w:color w:val="000000"/>
                <w:kern w:val="0"/>
                <w:sz w:val="22"/>
                <w:szCs w:val="22"/>
                <w:u w:val="none"/>
                <w:lang w:val="en-US" w:eastAsia="zh-CN" w:bidi="ar"/>
              </w:rPr>
              <w:t>演化研究</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宋体" w:cs="Times New Roman"/>
                <w:i w:val="0"/>
                <w:iCs w:val="0"/>
                <w:color w:val="000000"/>
                <w:kern w:val="0"/>
                <w:sz w:val="22"/>
                <w:szCs w:val="22"/>
                <w:u w:val="none"/>
                <w:lang w:val="en-US" w:eastAsia="zh-CN" w:bidi="ar"/>
              </w:rPr>
              <w:t>《开发研究》</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宋体" w:cs="Times New Roman"/>
                <w:i w:val="0"/>
                <w:iCs w:val="0"/>
                <w:color w:val="000000"/>
                <w:kern w:val="0"/>
                <w:sz w:val="22"/>
                <w:szCs w:val="22"/>
                <w:u w:val="none"/>
                <w:lang w:val="en-US" w:eastAsia="zh-CN" w:bidi="ar"/>
              </w:rPr>
              <w:t>AMI扩展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rFonts w:hint="default" w:eastAsia="宋体"/>
                <w:szCs w:val="21"/>
                <w:lang w:val="en-US" w:eastAsia="zh-CN"/>
              </w:rPr>
            </w:pPr>
            <w:r>
              <w:rPr>
                <w:rFonts w:hint="eastAsia"/>
                <w:szCs w:val="21"/>
                <w:lang w:val="en-US" w:eastAsia="zh-CN"/>
              </w:rPr>
              <w:t>10</w:t>
            </w:r>
          </w:p>
        </w:tc>
        <w:tc>
          <w:tcPr>
            <w:tcW w:w="485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宋体" w:cs="Times New Roman"/>
                <w:i w:val="0"/>
                <w:iCs w:val="0"/>
                <w:color w:val="000000"/>
                <w:kern w:val="0"/>
                <w:sz w:val="22"/>
                <w:szCs w:val="22"/>
                <w:u w:val="none"/>
                <w:lang w:val="en-US" w:eastAsia="zh-CN" w:bidi="ar"/>
              </w:rPr>
              <w:t>粤港澳大湾区要素流通对经济高质量发展的影响机制和实现路径</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宋体" w:cs="Times New Roman"/>
                <w:i w:val="0"/>
                <w:iCs w:val="0"/>
                <w:color w:val="000000"/>
                <w:kern w:val="0"/>
                <w:sz w:val="22"/>
                <w:szCs w:val="22"/>
                <w:u w:val="none"/>
                <w:lang w:val="en-US" w:eastAsia="zh-CN" w:bidi="ar"/>
              </w:rPr>
              <w:t>《新经济》</w:t>
            </w:r>
            <w:r>
              <w:rPr>
                <w:rFonts w:hint="eastAsia" w:cs="Times New Roman"/>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 xml:space="preserve">人大复印报刊资料《区域与城市经济》2023年第10期全文转载 </w:t>
            </w:r>
          </w:p>
        </w:tc>
        <w:tc>
          <w:tcPr>
            <w:tcW w:w="1206" w:type="dxa"/>
            <w:vMerge w:val="restart"/>
            <w:tcBorders>
              <w:top w:val="single" w:color="auto" w:sz="4" w:space="0"/>
              <w:left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宋体" w:cs="Times New Roman"/>
                <w:i w:val="0"/>
                <w:iCs w:val="0"/>
                <w:color w:val="000000"/>
                <w:kern w:val="0"/>
                <w:sz w:val="22"/>
                <w:szCs w:val="22"/>
                <w:u w:val="none"/>
                <w:lang w:val="en-US" w:eastAsia="zh-CN" w:bidi="ar"/>
              </w:rPr>
              <w:t>普刊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rFonts w:hint="default" w:eastAsia="宋体"/>
                <w:szCs w:val="21"/>
                <w:lang w:val="en-US" w:eastAsia="zh-CN"/>
              </w:rPr>
            </w:pPr>
            <w:r>
              <w:rPr>
                <w:rFonts w:hint="eastAsia"/>
                <w:szCs w:val="21"/>
                <w:lang w:val="en-US" w:eastAsia="zh-CN"/>
              </w:rPr>
              <w:t>11</w:t>
            </w:r>
          </w:p>
        </w:tc>
        <w:tc>
          <w:tcPr>
            <w:tcW w:w="485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kern w:val="2"/>
                <w:sz w:val="24"/>
                <w:szCs w:val="21"/>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粤港澳大湾区数字新基建的内在逻辑与实现路径</w:t>
            </w:r>
          </w:p>
        </w:tc>
        <w:tc>
          <w:tcPr>
            <w:tcW w:w="1740"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《新经济》</w:t>
            </w:r>
          </w:p>
        </w:tc>
        <w:tc>
          <w:tcPr>
            <w:tcW w:w="1206" w:type="dxa"/>
            <w:vMerge w:val="continue"/>
            <w:tcBorders>
              <w:left w:val="single" w:color="auto" w:sz="4" w:space="0"/>
              <w:right w:val="single" w:color="auto"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rFonts w:hint="eastAsia" w:eastAsia="宋体"/>
                <w:szCs w:val="21"/>
                <w:lang w:eastAsia="zh-CN"/>
              </w:rPr>
            </w:pPr>
            <w:r>
              <w:rPr>
                <w:szCs w:val="21"/>
              </w:rPr>
              <w:t>1</w:t>
            </w:r>
            <w:r>
              <w:rPr>
                <w:rFonts w:hint="eastAsia"/>
                <w:szCs w:val="21"/>
                <w:lang w:val="en-US" w:eastAsia="zh-CN"/>
              </w:rPr>
              <w:t>2</w:t>
            </w:r>
          </w:p>
        </w:tc>
        <w:tc>
          <w:tcPr>
            <w:tcW w:w="485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宋体" w:cs="Times New Roman"/>
                <w:i w:val="0"/>
                <w:iCs w:val="0"/>
                <w:color w:val="000000"/>
                <w:kern w:val="0"/>
                <w:sz w:val="22"/>
                <w:szCs w:val="22"/>
                <w:u w:val="none"/>
                <w:lang w:val="en-US" w:eastAsia="zh-CN" w:bidi="ar"/>
              </w:rPr>
              <w:t>粤港澳大湾区金融科技高质量发展的路径研究</w:t>
            </w:r>
          </w:p>
        </w:tc>
        <w:tc>
          <w:tcPr>
            <w:tcW w:w="1740" w:type="dxa"/>
            <w:vMerge w:val="continue"/>
            <w:tcBorders>
              <w:left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p>
        </w:tc>
        <w:tc>
          <w:tcPr>
            <w:tcW w:w="1206" w:type="dxa"/>
            <w:vMerge w:val="continue"/>
            <w:tcBorders>
              <w:left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rFonts w:hint="eastAsia" w:eastAsia="宋体"/>
                <w:szCs w:val="21"/>
                <w:lang w:eastAsia="zh-CN"/>
              </w:rPr>
            </w:pPr>
            <w:r>
              <w:rPr>
                <w:szCs w:val="21"/>
              </w:rPr>
              <w:t>1</w:t>
            </w:r>
            <w:r>
              <w:rPr>
                <w:rFonts w:hint="eastAsia"/>
                <w:szCs w:val="21"/>
                <w:lang w:val="en-US" w:eastAsia="zh-CN"/>
              </w:rPr>
              <w:t>3</w:t>
            </w:r>
          </w:p>
        </w:tc>
        <w:tc>
          <w:tcPr>
            <w:tcW w:w="485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宋体" w:cs="Times New Roman"/>
                <w:i w:val="0"/>
                <w:iCs w:val="0"/>
                <w:color w:val="000000"/>
                <w:kern w:val="0"/>
                <w:sz w:val="22"/>
                <w:szCs w:val="22"/>
                <w:u w:val="none"/>
                <w:lang w:val="en-US" w:eastAsia="zh-CN" w:bidi="ar"/>
              </w:rPr>
              <w:t>粤港澳大湾区数字经济提升企业生产率的机理与建议</w:t>
            </w:r>
          </w:p>
        </w:tc>
        <w:tc>
          <w:tcPr>
            <w:tcW w:w="1740" w:type="dxa"/>
            <w:vMerge w:val="continue"/>
            <w:tcBorders>
              <w:left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p>
        </w:tc>
        <w:tc>
          <w:tcPr>
            <w:tcW w:w="1206" w:type="dxa"/>
            <w:vMerge w:val="continue"/>
            <w:tcBorders>
              <w:left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rFonts w:hint="eastAsia" w:eastAsia="宋体"/>
                <w:szCs w:val="21"/>
                <w:lang w:eastAsia="zh-CN"/>
              </w:rPr>
            </w:pPr>
            <w:r>
              <w:rPr>
                <w:szCs w:val="21"/>
              </w:rPr>
              <w:t>1</w:t>
            </w:r>
            <w:r>
              <w:rPr>
                <w:rFonts w:hint="eastAsia"/>
                <w:szCs w:val="21"/>
                <w:lang w:val="en-US" w:eastAsia="zh-CN"/>
              </w:rPr>
              <w:t>4</w:t>
            </w:r>
          </w:p>
        </w:tc>
        <w:tc>
          <w:tcPr>
            <w:tcW w:w="485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中国碳排放权交易制度的减排效应</w:t>
            </w:r>
          </w:p>
          <w:p>
            <w:pPr>
              <w:widowControl/>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宋体" w:cs="Times New Roman"/>
                <w:i w:val="0"/>
                <w:iCs w:val="0"/>
                <w:color w:val="000000"/>
                <w:kern w:val="0"/>
                <w:sz w:val="22"/>
                <w:szCs w:val="22"/>
                <w:u w:val="none"/>
                <w:lang w:val="en-US" w:eastAsia="zh-CN" w:bidi="ar"/>
              </w:rPr>
              <w:t>——基于多期DID和空间杜宾的分析</w:t>
            </w:r>
          </w:p>
        </w:tc>
        <w:tc>
          <w:tcPr>
            <w:tcW w:w="1740" w:type="dxa"/>
            <w:vMerge w:val="continue"/>
            <w:tcBorders>
              <w:left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p>
        </w:tc>
        <w:tc>
          <w:tcPr>
            <w:tcW w:w="1206" w:type="dxa"/>
            <w:vMerge w:val="continue"/>
            <w:tcBorders>
              <w:left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rFonts w:hint="default" w:eastAsia="宋体"/>
                <w:szCs w:val="21"/>
                <w:lang w:val="en-US" w:eastAsia="zh-CN"/>
              </w:rPr>
            </w:pPr>
            <w:r>
              <w:rPr>
                <w:rFonts w:hint="eastAsia"/>
                <w:szCs w:val="21"/>
                <w:lang w:val="en-US" w:eastAsia="zh-CN"/>
              </w:rPr>
              <w:t>15</w:t>
            </w:r>
          </w:p>
        </w:tc>
        <w:tc>
          <w:tcPr>
            <w:tcW w:w="485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在线旅游平台的赋能作用与未来高质量发展</w:t>
            </w:r>
          </w:p>
        </w:tc>
        <w:tc>
          <w:tcPr>
            <w:tcW w:w="1740" w:type="dxa"/>
            <w:vMerge w:val="continue"/>
            <w:tcBorders>
              <w:left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206" w:type="dxa"/>
            <w:vMerge w:val="continue"/>
            <w:tcBorders>
              <w:left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rFonts w:hint="default" w:eastAsia="宋体"/>
                <w:szCs w:val="21"/>
                <w:lang w:val="en-US" w:eastAsia="zh-CN"/>
              </w:rPr>
            </w:pPr>
            <w:r>
              <w:rPr>
                <w:rFonts w:hint="eastAsia"/>
                <w:szCs w:val="21"/>
                <w:lang w:val="en-US" w:eastAsia="zh-CN"/>
              </w:rPr>
              <w:t>16</w:t>
            </w:r>
          </w:p>
        </w:tc>
        <w:tc>
          <w:tcPr>
            <w:tcW w:w="485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乡村振兴背景下广东乡村消费发展分析</w:t>
            </w:r>
          </w:p>
        </w:tc>
        <w:tc>
          <w:tcPr>
            <w:tcW w:w="1740" w:type="dxa"/>
            <w:vMerge w:val="continue"/>
            <w:tcBorders>
              <w:left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206" w:type="dxa"/>
            <w:vMerge w:val="continue"/>
            <w:tcBorders>
              <w:left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rFonts w:hint="default" w:eastAsia="宋体"/>
                <w:szCs w:val="21"/>
                <w:lang w:val="en-US" w:eastAsia="zh-CN"/>
              </w:rPr>
            </w:pPr>
            <w:r>
              <w:rPr>
                <w:rFonts w:hint="eastAsia"/>
                <w:szCs w:val="21"/>
                <w:lang w:val="en-US" w:eastAsia="zh-CN"/>
              </w:rPr>
              <w:t>17</w:t>
            </w:r>
          </w:p>
        </w:tc>
        <w:tc>
          <w:tcPr>
            <w:tcW w:w="4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粤港澳大湾区人口流动与经济发展相互影响研究</w:t>
            </w:r>
          </w:p>
        </w:tc>
        <w:tc>
          <w:tcPr>
            <w:tcW w:w="1740" w:type="dxa"/>
            <w:vMerge w:val="continue"/>
            <w:tcBorders>
              <w:left w:val="single" w:color="auto" w:sz="4" w:space="0"/>
              <w:right w:val="single" w:color="auto"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206" w:type="dxa"/>
            <w:vMerge w:val="continue"/>
            <w:tcBorders>
              <w:left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rFonts w:hint="default" w:eastAsia="宋体"/>
                <w:szCs w:val="21"/>
                <w:lang w:val="en-US" w:eastAsia="zh-CN"/>
              </w:rPr>
            </w:pPr>
            <w:r>
              <w:rPr>
                <w:rFonts w:hint="eastAsia"/>
                <w:szCs w:val="21"/>
                <w:lang w:val="en-US" w:eastAsia="zh-CN"/>
              </w:rPr>
              <w:t>18</w:t>
            </w:r>
          </w:p>
        </w:tc>
        <w:tc>
          <w:tcPr>
            <w:tcW w:w="4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区域经济与生态环境耦合协调高质量发展研究——以广东江门旅游产业为例</w:t>
            </w:r>
          </w:p>
        </w:tc>
        <w:tc>
          <w:tcPr>
            <w:tcW w:w="1740" w:type="dxa"/>
            <w:vMerge w:val="continue"/>
            <w:tcBorders>
              <w:left w:val="single" w:color="auto" w:sz="4" w:space="0"/>
              <w:right w:val="single" w:color="auto"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206" w:type="dxa"/>
            <w:vMerge w:val="continue"/>
            <w:tcBorders>
              <w:left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rFonts w:hint="default" w:eastAsia="宋体"/>
                <w:szCs w:val="21"/>
                <w:lang w:val="en-US" w:eastAsia="zh-CN"/>
              </w:rPr>
            </w:pPr>
            <w:r>
              <w:rPr>
                <w:rFonts w:hint="eastAsia"/>
                <w:szCs w:val="21"/>
                <w:lang w:val="en-US" w:eastAsia="zh-CN"/>
              </w:rPr>
              <w:t>19</w:t>
            </w:r>
          </w:p>
        </w:tc>
        <w:tc>
          <w:tcPr>
            <w:tcW w:w="4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广东省人口受教育程度分析</w:t>
            </w:r>
          </w:p>
        </w:tc>
        <w:tc>
          <w:tcPr>
            <w:tcW w:w="1740"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206" w:type="dxa"/>
            <w:vMerge w:val="continue"/>
            <w:tcBorders>
              <w:left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rFonts w:hint="default" w:eastAsia="宋体"/>
                <w:szCs w:val="21"/>
                <w:lang w:val="en-US" w:eastAsia="zh-CN"/>
              </w:rPr>
            </w:pPr>
            <w:r>
              <w:rPr>
                <w:rFonts w:hint="eastAsia"/>
                <w:szCs w:val="21"/>
                <w:lang w:val="en-US" w:eastAsia="zh-CN"/>
              </w:rPr>
              <w:t>20</w:t>
            </w:r>
          </w:p>
        </w:tc>
        <w:tc>
          <w:tcPr>
            <w:tcW w:w="485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探索生态旅游赋能乡村振兴实现路径</w:t>
            </w:r>
          </w:p>
          <w:p>
            <w:pPr>
              <w:widowControl/>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宋体" w:cs="Times New Roman"/>
                <w:i w:val="0"/>
                <w:iCs w:val="0"/>
                <w:color w:val="000000"/>
                <w:kern w:val="0"/>
                <w:sz w:val="22"/>
                <w:szCs w:val="22"/>
                <w:u w:val="none"/>
                <w:lang w:val="en-US" w:eastAsia="zh-CN" w:bidi="ar"/>
              </w:rPr>
              <w:t>——以广东云浮市为例</w:t>
            </w:r>
          </w:p>
        </w:tc>
        <w:tc>
          <w:tcPr>
            <w:tcW w:w="1740" w:type="dxa"/>
            <w:vMerge w:val="restart"/>
            <w:tcBorders>
              <w:top w:val="single" w:color="auto" w:sz="4" w:space="0"/>
              <w:left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《广东经济》</w:t>
            </w:r>
          </w:p>
        </w:tc>
        <w:tc>
          <w:tcPr>
            <w:tcW w:w="1206" w:type="dxa"/>
            <w:vMerge w:val="continue"/>
            <w:tcBorders>
              <w:left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rFonts w:hint="default" w:eastAsia="宋体"/>
                <w:szCs w:val="21"/>
                <w:lang w:val="en-US" w:eastAsia="zh-CN"/>
              </w:rPr>
            </w:pPr>
            <w:r>
              <w:rPr>
                <w:rFonts w:hint="eastAsia"/>
                <w:szCs w:val="21"/>
                <w:lang w:val="en-US" w:eastAsia="zh-CN"/>
              </w:rPr>
              <w:t>21</w:t>
            </w:r>
          </w:p>
        </w:tc>
        <w:tc>
          <w:tcPr>
            <w:tcW w:w="485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乡村振兴背景下广东乡村民宿发展经验及启示</w:t>
            </w:r>
          </w:p>
        </w:tc>
        <w:tc>
          <w:tcPr>
            <w:tcW w:w="1740" w:type="dxa"/>
            <w:vMerge w:val="continue"/>
            <w:tcBorders>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206" w:type="dxa"/>
            <w:vMerge w:val="continue"/>
            <w:tcBorders>
              <w:left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rFonts w:hint="default" w:eastAsia="宋体"/>
                <w:szCs w:val="21"/>
                <w:lang w:val="en-US" w:eastAsia="zh-CN"/>
              </w:rPr>
            </w:pPr>
            <w:r>
              <w:rPr>
                <w:rFonts w:hint="eastAsia"/>
                <w:szCs w:val="21"/>
                <w:lang w:val="en-US" w:eastAsia="zh-CN"/>
              </w:rPr>
              <w:t>22</w:t>
            </w:r>
          </w:p>
        </w:tc>
        <w:tc>
          <w:tcPr>
            <w:tcW w:w="4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汉唐至清乾隆粤人文献——清学者温汝能与乡邦诗文整理</w:t>
            </w:r>
          </w:p>
        </w:tc>
        <w:tc>
          <w:tcPr>
            <w:tcW w:w="1740"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宋体" w:cs="Times New Roman"/>
                <w:i w:val="0"/>
                <w:iCs w:val="0"/>
                <w:color w:val="000000"/>
                <w:kern w:val="0"/>
                <w:sz w:val="22"/>
                <w:szCs w:val="22"/>
                <w:u w:val="none"/>
                <w:lang w:val="en-US" w:eastAsia="zh-CN" w:bidi="ar"/>
              </w:rPr>
              <w:t>《广东文献》</w:t>
            </w:r>
          </w:p>
        </w:tc>
        <w:tc>
          <w:tcPr>
            <w:tcW w:w="1206" w:type="dxa"/>
            <w:vMerge w:val="continue"/>
            <w:tcBorders>
              <w:left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rFonts w:hint="default" w:eastAsia="宋体"/>
                <w:szCs w:val="21"/>
                <w:lang w:val="en-US" w:eastAsia="zh-CN"/>
              </w:rPr>
            </w:pPr>
            <w:r>
              <w:rPr>
                <w:rFonts w:hint="eastAsia"/>
                <w:szCs w:val="21"/>
                <w:lang w:val="en-US" w:eastAsia="zh-CN"/>
              </w:rPr>
              <w:t>23</w:t>
            </w:r>
          </w:p>
        </w:tc>
        <w:tc>
          <w:tcPr>
            <w:tcW w:w="4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宋体" w:cs="Times New Roman"/>
                <w:i w:val="0"/>
                <w:iCs w:val="0"/>
                <w:color w:val="000000"/>
                <w:kern w:val="0"/>
                <w:sz w:val="22"/>
                <w:szCs w:val="22"/>
                <w:u w:val="none"/>
                <w:lang w:val="en-US" w:eastAsia="zh-CN" w:bidi="ar"/>
              </w:rPr>
              <w:t>许崇智革命事迹考</w:t>
            </w:r>
          </w:p>
        </w:tc>
        <w:tc>
          <w:tcPr>
            <w:tcW w:w="1740"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ind w:firstLine="0" w:firstLineChars="0"/>
              <w:jc w:val="center"/>
              <w:textAlignment w:val="center"/>
              <w:rPr>
                <w:rFonts w:ascii="Times New Roman" w:hAnsi="Times New Roman" w:cs="Times New Roman"/>
                <w:szCs w:val="21"/>
              </w:rPr>
            </w:pPr>
          </w:p>
        </w:tc>
        <w:tc>
          <w:tcPr>
            <w:tcW w:w="1206" w:type="dxa"/>
            <w:vMerge w:val="continue"/>
            <w:tcBorders>
              <w:left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rFonts w:hint="default" w:eastAsia="宋体"/>
                <w:szCs w:val="21"/>
                <w:lang w:val="en-US" w:eastAsia="zh-CN"/>
              </w:rPr>
            </w:pPr>
            <w:r>
              <w:rPr>
                <w:rFonts w:hint="eastAsia"/>
                <w:szCs w:val="21"/>
                <w:lang w:val="en-US" w:eastAsia="zh-CN"/>
              </w:rPr>
              <w:t>24</w:t>
            </w:r>
          </w:p>
        </w:tc>
        <w:tc>
          <w:tcPr>
            <w:tcW w:w="4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ind w:firstLine="0" w:firstLineChars="0"/>
              <w:jc w:val="center"/>
              <w:textAlignment w:val="center"/>
              <w:rPr>
                <w:rFonts w:ascii="Times New Roman" w:hAnsi="Times New Roman" w:cs="Times New Roman"/>
                <w:szCs w:val="21"/>
              </w:rPr>
            </w:pP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革命新娘</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卓国华事迹考略</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宋体" w:cs="Times New Roman"/>
                <w:i w:val="0"/>
                <w:iCs w:val="0"/>
                <w:color w:val="000000"/>
                <w:kern w:val="0"/>
                <w:sz w:val="22"/>
                <w:szCs w:val="22"/>
                <w:u w:val="none"/>
                <w:lang w:val="en-US" w:eastAsia="zh-CN" w:bidi="ar"/>
              </w:rPr>
              <w:t>《广府人》</w:t>
            </w:r>
          </w:p>
        </w:tc>
        <w:tc>
          <w:tcPr>
            <w:tcW w:w="1206" w:type="dxa"/>
            <w:vMerge w:val="continue"/>
            <w:tcBorders>
              <w:left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rFonts w:hint="default" w:eastAsia="宋体"/>
                <w:szCs w:val="21"/>
                <w:lang w:val="en-US" w:eastAsia="zh-CN"/>
              </w:rPr>
            </w:pPr>
            <w:r>
              <w:rPr>
                <w:rFonts w:hint="eastAsia"/>
                <w:szCs w:val="21"/>
                <w:lang w:val="en-US" w:eastAsia="zh-CN"/>
              </w:rPr>
              <w:t>25</w:t>
            </w:r>
          </w:p>
        </w:tc>
        <w:tc>
          <w:tcPr>
            <w:tcW w:w="4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郑观应禁烟思想评析</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《巢湖学院学报》</w:t>
            </w:r>
          </w:p>
        </w:tc>
        <w:tc>
          <w:tcPr>
            <w:tcW w:w="1206" w:type="dxa"/>
            <w:vMerge w:val="continue"/>
            <w:tcBorders>
              <w:left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szCs w:val="21"/>
              </w:rPr>
            </w:pPr>
            <w:r>
              <w:rPr>
                <w:rFonts w:hint="eastAsia"/>
                <w:szCs w:val="21"/>
                <w:lang w:val="en-US" w:eastAsia="zh-CN"/>
              </w:rPr>
              <w:t>2</w:t>
            </w:r>
            <w:r>
              <w:rPr>
                <w:rFonts w:hint="default"/>
                <w:szCs w:val="21"/>
              </w:rPr>
              <w:t>6</w:t>
            </w:r>
          </w:p>
        </w:tc>
        <w:tc>
          <w:tcPr>
            <w:tcW w:w="485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宋体" w:cs="Times New Roman"/>
                <w:i w:val="0"/>
                <w:iCs w:val="0"/>
                <w:color w:val="auto"/>
                <w:kern w:val="0"/>
                <w:sz w:val="22"/>
                <w:szCs w:val="22"/>
                <w:u w:val="none"/>
                <w:lang w:val="en-US" w:eastAsia="zh-CN" w:bidi="ar"/>
              </w:rPr>
              <w:fldChar w:fldCharType="begin"/>
            </w:r>
            <w:r>
              <w:rPr>
                <w:rFonts w:hint="default" w:ascii="Times New Roman" w:hAnsi="Times New Roman" w:eastAsia="宋体" w:cs="Times New Roman"/>
                <w:i w:val="0"/>
                <w:iCs w:val="0"/>
                <w:color w:val="auto"/>
                <w:kern w:val="0"/>
                <w:sz w:val="22"/>
                <w:szCs w:val="22"/>
                <w:u w:val="none"/>
                <w:lang w:val="en-US" w:eastAsia="zh-CN" w:bidi="ar"/>
              </w:rPr>
              <w:instrText xml:space="preserve"> HYPERLINK "https://kns.cnki.net/kcms2/article/abstract?v=0qMDjMp0v1l7hKNuoPAjY9qsTFzr3woB-9P83nBXtUBrKoiZra5QDUFdbT260NI9r9HS8NtK1as8DOyAVT7RqeYrCyEYFQTwegIJCTarSRD2uQJSjyevwXmWGUjDSgvIt42wSQ-xe5o=&amp;uniplatform=NZKPT&amp;language=CHS" \o "https://kns.cnki.net/kcms2/article/abstract?v=0qMDjMp0v1l7hKNuoPAjY9qsTFzr3woB-9P83nBXtUBrKoiZra5QDUFdbT260NI9r9HS8NtK1as8DOyAVT7RqeYrCyEYFQTwegIJCTarSRD2uQJSjyevwXmWGUjDSgvIt42wSQ-xe5o=&amp;uniplatform=NZKPT&amp;language=CHS" </w:instrText>
            </w:r>
            <w:r>
              <w:rPr>
                <w:rFonts w:hint="default" w:ascii="Times New Roman" w:hAnsi="Times New Roman" w:eastAsia="宋体" w:cs="Times New Roman"/>
                <w:i w:val="0"/>
                <w:iCs w:val="0"/>
                <w:color w:val="auto"/>
                <w:kern w:val="0"/>
                <w:sz w:val="22"/>
                <w:szCs w:val="22"/>
                <w:u w:val="none"/>
                <w:lang w:val="en-US" w:eastAsia="zh-CN" w:bidi="ar"/>
              </w:rPr>
              <w:fldChar w:fldCharType="separate"/>
            </w:r>
            <w:r>
              <w:rPr>
                <w:rStyle w:val="18"/>
                <w:rFonts w:hint="default" w:ascii="Times New Roman" w:hAnsi="Times New Roman" w:eastAsia="宋体" w:cs="Times New Roman"/>
                <w:i w:val="0"/>
                <w:iCs w:val="0"/>
                <w:color w:val="auto"/>
                <w:sz w:val="22"/>
                <w:szCs w:val="22"/>
                <w:u w:val="none"/>
              </w:rPr>
              <w:t>粤港澳大湾区的制度创新与治理能力现代化建设</w:t>
            </w:r>
            <w:r>
              <w:rPr>
                <w:rFonts w:hint="default" w:ascii="Times New Roman" w:hAnsi="Times New Roman" w:eastAsia="宋体" w:cs="Times New Roman"/>
                <w:i w:val="0"/>
                <w:iCs w:val="0"/>
                <w:color w:val="auto"/>
                <w:kern w:val="0"/>
                <w:sz w:val="22"/>
                <w:szCs w:val="22"/>
                <w:u w:val="none"/>
                <w:lang w:val="en-US" w:eastAsia="zh-CN" w:bidi="ar"/>
              </w:rPr>
              <w:fldChar w:fldCharType="end"/>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r>
              <w:rPr>
                <w:rFonts w:hint="default" w:ascii="Times New Roman" w:hAnsi="Times New Roman" w:eastAsia="宋体" w:cs="Times New Roman"/>
                <w:i w:val="0"/>
                <w:iCs w:val="0"/>
                <w:color w:val="000000"/>
                <w:kern w:val="0"/>
                <w:sz w:val="22"/>
                <w:szCs w:val="22"/>
                <w:u w:val="none"/>
                <w:lang w:val="en-US" w:eastAsia="zh-CN" w:bidi="ar"/>
              </w:rPr>
              <w:t>《小康》</w:t>
            </w:r>
          </w:p>
        </w:tc>
        <w:tc>
          <w:tcPr>
            <w:tcW w:w="1206" w:type="dxa"/>
            <w:vMerge w:val="continue"/>
            <w:tcBorders>
              <w:left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tcBorders>
              <w:top w:val="single" w:color="auto" w:sz="4" w:space="0"/>
              <w:left w:val="single" w:color="auto" w:sz="4" w:space="0"/>
              <w:bottom w:val="single" w:color="auto" w:sz="4" w:space="0"/>
              <w:right w:val="single" w:color="auto" w:sz="4" w:space="0"/>
            </w:tcBorders>
            <w:noWrap w:val="0"/>
            <w:vAlign w:val="center"/>
          </w:tcPr>
          <w:p>
            <w:pPr>
              <w:pStyle w:val="30"/>
              <w:widowControl w:val="0"/>
              <w:spacing w:line="240" w:lineRule="auto"/>
              <w:rPr>
                <w:szCs w:val="21"/>
              </w:rPr>
            </w:pPr>
            <w:r>
              <w:rPr>
                <w:rFonts w:hint="eastAsia"/>
                <w:szCs w:val="21"/>
                <w:lang w:val="en-US" w:eastAsia="zh-CN"/>
              </w:rPr>
              <w:t>2</w:t>
            </w:r>
            <w:r>
              <w:rPr>
                <w:rFonts w:hint="default"/>
                <w:szCs w:val="21"/>
              </w:rPr>
              <w:t>7</w:t>
            </w:r>
          </w:p>
        </w:tc>
        <w:tc>
          <w:tcPr>
            <w:tcW w:w="4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color w:val="000000"/>
                <w:kern w:val="2"/>
                <w:sz w:val="24"/>
                <w:szCs w:val="21"/>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以打造海上新广东取得新突破为牵引 全面推动海洋旅游业高质量发展</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color w:val="000000"/>
                <w:kern w:val="2"/>
                <w:sz w:val="24"/>
                <w:szCs w:val="21"/>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《南方》</w:t>
            </w:r>
          </w:p>
        </w:tc>
        <w:tc>
          <w:tcPr>
            <w:tcW w:w="1206" w:type="dxa"/>
            <w:vMerge w:val="continue"/>
            <w:tcBorders>
              <w:left w:val="single" w:color="auto" w:sz="4" w:space="0"/>
              <w:right w:val="single" w:color="auto" w:sz="4" w:space="0"/>
            </w:tcBorders>
            <w:noWrap w:val="0"/>
            <w:vAlign w:val="center"/>
          </w:tcPr>
          <w:p>
            <w:pPr>
              <w:widowControl/>
              <w:spacing w:line="240" w:lineRule="auto"/>
              <w:ind w:firstLine="0" w:firstLineChars="0"/>
              <w:jc w:val="center"/>
              <w:textAlignment w:val="center"/>
              <w:rPr>
                <w:rFonts w:ascii="Times New Roman" w:hAnsi="Times New Roman" w:cs="Times New Roman"/>
                <w:szCs w:val="21"/>
              </w:rPr>
            </w:pPr>
          </w:p>
        </w:tc>
      </w:tr>
    </w:tbl>
    <w:p>
      <w:pPr>
        <w:ind w:firstLine="480"/>
        <w:rPr>
          <w:rFonts w:hint="eastAsia"/>
        </w:rPr>
      </w:pPr>
    </w:p>
    <w:p>
      <w:pPr>
        <w:pStyle w:val="3"/>
        <w:keepNext w:val="0"/>
        <w:keepLines w:val="0"/>
        <w:widowControl w:val="0"/>
        <w:ind w:firstLine="723" w:firstLineChars="200"/>
        <w:rPr>
          <w:rFonts w:hint="eastAsia"/>
        </w:rPr>
      </w:pPr>
      <w:bookmarkStart w:id="175" w:name="_Toc20353"/>
      <w:bookmarkStart w:id="176" w:name="_Toc127791881"/>
      <w:bookmarkStart w:id="177" w:name="_Toc877"/>
      <w:bookmarkStart w:id="178" w:name="_Toc29250"/>
      <w:bookmarkStart w:id="179" w:name="_Toc67497730"/>
      <w:bookmarkStart w:id="180" w:name="_Toc67497693"/>
      <w:bookmarkStart w:id="181" w:name="_Toc15170"/>
      <w:bookmarkStart w:id="182" w:name="_Toc19450"/>
      <w:r>
        <w:rPr>
          <w:rFonts w:hint="eastAsia"/>
        </w:rPr>
        <w:t>五、日常管理和资源保障</w:t>
      </w:r>
      <w:bookmarkEnd w:id="175"/>
      <w:bookmarkEnd w:id="176"/>
      <w:bookmarkEnd w:id="177"/>
      <w:bookmarkEnd w:id="178"/>
      <w:bookmarkEnd w:id="179"/>
      <w:bookmarkEnd w:id="180"/>
      <w:bookmarkEnd w:id="181"/>
      <w:bookmarkEnd w:id="182"/>
    </w:p>
    <w:p>
      <w:pPr>
        <w:pStyle w:val="4"/>
        <w:keepNext w:val="0"/>
        <w:keepLines w:val="0"/>
        <w:widowControl w:val="0"/>
        <w:ind w:firstLine="602" w:firstLineChars="200"/>
        <w:rPr>
          <w:rFonts w:hint="eastAsia"/>
        </w:rPr>
      </w:pPr>
      <w:bookmarkStart w:id="183" w:name="_Toc127791882"/>
      <w:bookmarkStart w:id="184" w:name="_Toc966"/>
      <w:bookmarkStart w:id="185" w:name="_Toc4366"/>
      <w:bookmarkStart w:id="186" w:name="_Toc12788"/>
      <w:bookmarkStart w:id="187" w:name="_Toc22760"/>
      <w:bookmarkStart w:id="188" w:name="_Toc7314"/>
      <w:bookmarkStart w:id="189" w:name="_Toc67497731"/>
      <w:bookmarkStart w:id="190" w:name="_Toc67497694"/>
      <w:r>
        <w:rPr>
          <w:rFonts w:hint="eastAsia"/>
        </w:rPr>
        <w:t>（一）日常管理服务</w:t>
      </w:r>
      <w:bookmarkEnd w:id="183"/>
      <w:bookmarkEnd w:id="184"/>
      <w:bookmarkEnd w:id="185"/>
      <w:bookmarkEnd w:id="186"/>
      <w:bookmarkEnd w:id="187"/>
      <w:bookmarkEnd w:id="188"/>
    </w:p>
    <w:p>
      <w:pPr>
        <w:pStyle w:val="5"/>
        <w:keepNext w:val="0"/>
        <w:keepLines w:val="0"/>
        <w:widowControl w:val="0"/>
        <w:ind w:firstLine="560" w:firstLineChars="200"/>
        <w:rPr>
          <w:rFonts w:hint="eastAsia"/>
        </w:rPr>
      </w:pPr>
      <w:bookmarkStart w:id="191" w:name="_Toc21075"/>
      <w:r>
        <w:rPr>
          <w:rFonts w:hint="eastAsia"/>
        </w:rPr>
        <w:t>1.完善研究生管理和服务制度</w:t>
      </w:r>
      <w:bookmarkEnd w:id="191"/>
    </w:p>
    <w:p>
      <w:pPr>
        <w:ind w:firstLine="480"/>
        <w:rPr>
          <w:rFonts w:hint="eastAsia"/>
        </w:rPr>
      </w:pPr>
      <w:r>
        <w:rPr>
          <w:rFonts w:hint="eastAsia"/>
        </w:rPr>
        <w:t>为全面贯彻落实党和国家教育方针，适应教育改革与发展的需要，切实加强教学工作，不断提高培养质量和办学水平，我院依据国家法律法规、教育部及省有关文件精神和实际情况，探索建立研究生部与导师组双头管理体制。研究生部负责日常管理，导师组负责学习科研管理。研究生部现有8名专职管理人员，下设招生就业、学位管理、培养管理、学生管理、综合管理等5个业务组，并有物业管理部门专门保障研究生日常生活。导师组由各专业硕士研究生导师组成，在</w:t>
      </w:r>
      <w:r>
        <w:rPr>
          <w:rFonts w:hint="eastAsia"/>
          <w:lang w:eastAsia="zh-CN"/>
        </w:rPr>
        <w:t>院</w:t>
      </w:r>
      <w:r>
        <w:rPr>
          <w:rFonts w:hint="eastAsia"/>
        </w:rPr>
        <w:t>学</w:t>
      </w:r>
      <w:r>
        <w:rPr>
          <w:rFonts w:hint="eastAsia"/>
          <w:lang w:eastAsia="zh-CN"/>
        </w:rPr>
        <w:t>位评定</w:t>
      </w:r>
      <w:r>
        <w:rPr>
          <w:rFonts w:hint="eastAsia"/>
        </w:rPr>
        <w:t>委员会领导下开展教学和科研工作。</w:t>
      </w:r>
      <w:r>
        <w:rPr>
          <w:rFonts w:hint="eastAsia"/>
          <w:lang w:val="en-US" w:eastAsia="zh-CN"/>
        </w:rPr>
        <w:t>根据</w:t>
      </w:r>
      <w:r>
        <w:rPr>
          <w:rFonts w:hint="eastAsia"/>
        </w:rPr>
        <w:t>《广东省社会科学院硕士研究生导师组工作办法》</w:t>
      </w:r>
      <w:r>
        <w:rPr>
          <w:rFonts w:hint="eastAsia"/>
          <w:lang w:eastAsia="zh-CN"/>
        </w:rPr>
        <w:t>，</w:t>
      </w:r>
      <w:r>
        <w:rPr>
          <w:rFonts w:hint="eastAsia"/>
        </w:rPr>
        <w:t>各专业导师组的工作包括制定本专业发展规划和培养方案、协调招生计划、审定教学大纲、组织学位论文开题和论文答辩等。</w:t>
      </w:r>
    </w:p>
    <w:p>
      <w:pPr>
        <w:ind w:firstLine="480"/>
        <w:rPr>
          <w:rFonts w:hint="eastAsia"/>
        </w:rPr>
      </w:pPr>
      <w:r>
        <w:rPr>
          <w:rFonts w:hint="eastAsia"/>
        </w:rPr>
        <w:t>经过多年探索，我院已逐步建立起一套行之有效的研究生管理制度体系。除奖助体系、导师遴选与工作办法外，还包括：（1）依据《广东省社会科学院研究生管理规定》，对研究生权利与义务、学籍管理、校园秩序、奖励处分等进行日常管理；（2）依据《广东省社会科学院关于开题报告的规定》、《广东省社会科学院学位论文作假行为处理办法》，对学位论文开题流程、行文规范、学术诚信等进行严格管理；（3）依据《广东省社会科学院研究生中期考核试行规定》，对研究生开题、科研能力、论文发表等进行综合测评；（4）依据《广东省社会科学院学位授予工作细则（修订稿）》，对研究生毕业论文质量及学位授予严格把关；（5）依据《关于派遣全日制研究生赴国外（境外）学习、交流的有关规定》，对研究生赴外交流相关事宜进行管理；（6）依据《广东省社会科学院硕士研究生社会实践考察工作暂行规定》，对研究生参与社会实践活动的时间、方式等进行管理。</w:t>
      </w:r>
    </w:p>
    <w:p>
      <w:pPr>
        <w:ind w:firstLine="480"/>
        <w:rPr>
          <w:rFonts w:hint="default" w:eastAsia="宋体"/>
          <w:lang w:val="en-US" w:eastAsia="zh-CN"/>
        </w:rPr>
      </w:pPr>
      <w:r>
        <w:rPr>
          <w:rFonts w:hint="eastAsia"/>
          <w:lang w:val="en-US" w:eastAsia="zh-CN"/>
        </w:rPr>
        <w:t>2023年，为推进我院研究生教育高质量发展，进一步加强导师队伍建设和管理，我院重新修订了《</w:t>
      </w:r>
      <w:r>
        <w:rPr>
          <w:rFonts w:hint="eastAsia"/>
        </w:rPr>
        <w:t>广东省社会科学院</w:t>
      </w:r>
      <w:r>
        <w:rPr>
          <w:rFonts w:hint="eastAsia"/>
          <w:lang w:val="en-US" w:eastAsia="zh-CN"/>
        </w:rPr>
        <w:t>学位评定委员会委员遴选条件》和《</w:t>
      </w:r>
      <w:r>
        <w:rPr>
          <w:rFonts w:hint="eastAsia"/>
        </w:rPr>
        <w:t>广东省社会科学院</w:t>
      </w:r>
      <w:r>
        <w:rPr>
          <w:rFonts w:hint="eastAsia"/>
          <w:lang w:val="en-US" w:eastAsia="zh-CN"/>
        </w:rPr>
        <w:t>硕士研究生导师遴选条件》，并且各专业导师组结合相关学科教学新要求和科研新进展重新修订了培养方案；同时，为提高研究生教学质量，完善研究生培养机制，我院新制定了《广东省社会科学院研究生特色课程教材建设项目管理办法》和《广东省社会科学院研究生科研创新项目管理办法》。</w:t>
      </w:r>
    </w:p>
    <w:p>
      <w:pPr>
        <w:pStyle w:val="5"/>
        <w:keepNext w:val="0"/>
        <w:keepLines w:val="0"/>
        <w:widowControl w:val="0"/>
        <w:ind w:firstLine="560" w:firstLineChars="200"/>
        <w:rPr>
          <w:rFonts w:hint="eastAsia"/>
        </w:rPr>
      </w:pPr>
      <w:bookmarkStart w:id="192" w:name="_Toc26614"/>
      <w:r>
        <w:rPr>
          <w:rFonts w:hint="eastAsia"/>
        </w:rPr>
        <w:t>2.夯实研究生权益保障制度</w:t>
      </w:r>
      <w:bookmarkEnd w:id="192"/>
    </w:p>
    <w:p>
      <w:pPr>
        <w:ind w:firstLine="480"/>
        <w:rPr>
          <w:rFonts w:hint="eastAsia"/>
        </w:rPr>
      </w:pPr>
      <w:r>
        <w:rPr>
          <w:rFonts w:hint="eastAsia"/>
        </w:rPr>
        <w:t>一是以制度保障研究生各类权益。研究生依规享有《广东省社会科学院研究生管理规定》规定的各项基本权利。例如，使用教学资源、参加社会服务、申请奖助学金、获得公正评价、处分申诉等。此外，我院</w:t>
      </w:r>
      <w:r>
        <w:rPr>
          <w:rFonts w:hint="eastAsia"/>
          <w:lang w:val="en-US" w:eastAsia="zh-CN"/>
        </w:rPr>
        <w:t>组织</w:t>
      </w:r>
      <w:r>
        <w:rPr>
          <w:rFonts w:hint="eastAsia"/>
        </w:rPr>
        <w:t>为所有在学研究生统一购买社会医疗保险。研究生住宿标准向广东重点高校看齐，住宿费和学费低于广东省硕士研究生平均收费水平。</w:t>
      </w:r>
      <w:r>
        <w:rPr>
          <w:rFonts w:hint="eastAsia"/>
          <w:lang w:val="en-US" w:eastAsia="zh-CN"/>
        </w:rPr>
        <w:t>助学金标准处于较高水平，</w:t>
      </w:r>
      <w:r>
        <w:rPr>
          <w:rFonts w:hint="eastAsia"/>
        </w:rPr>
        <w:t>奖学金惠及全体学生。</w:t>
      </w:r>
    </w:p>
    <w:p>
      <w:pPr>
        <w:ind w:firstLine="480"/>
        <w:rPr>
          <w:rFonts w:hint="eastAsia"/>
        </w:rPr>
      </w:pPr>
      <w:r>
        <w:rPr>
          <w:rFonts w:hint="eastAsia"/>
          <w:lang w:val="en-US" w:eastAsia="zh-CN"/>
        </w:rPr>
        <w:t>二</w:t>
      </w:r>
      <w:r>
        <w:rPr>
          <w:rFonts w:hint="eastAsia"/>
        </w:rPr>
        <w:t>是建立研究生权益保障常态化机制</w:t>
      </w:r>
      <w:r>
        <w:rPr>
          <w:rFonts w:hint="eastAsia"/>
          <w:lang w:eastAsia="zh-CN"/>
        </w:rPr>
        <w:t>。</w:t>
      </w:r>
      <w:r>
        <w:rPr>
          <w:rFonts w:hint="eastAsia"/>
          <w:lang w:val="en-US" w:eastAsia="zh-CN"/>
        </w:rPr>
        <w:t>正在研究制定《广东省社会科学院研究生权益保护制度（试行）》。</w:t>
      </w:r>
      <w:r>
        <w:rPr>
          <w:rFonts w:hint="eastAsia"/>
        </w:rPr>
        <w:t>不定期召开研究生部、导师代表、物业管理部门与学生代表参加的交流会，及时听取和解决研究生生活、学习、科研等各方面权益诉求，维护研究生正当权益，促进研究生身心健康全面发展。</w:t>
      </w:r>
      <w:r>
        <w:rPr>
          <w:rFonts w:hint="eastAsia"/>
          <w:lang w:val="en-US" w:eastAsia="zh-CN"/>
        </w:rPr>
        <w:t>同时，通过</w:t>
      </w:r>
      <w:r>
        <w:rPr>
          <w:rFonts w:hint="eastAsia"/>
        </w:rPr>
        <w:t>建立并动态更新重点关注学生清单目录，对存在心理问题、生活困难等学生重点跟踪、及时救济。</w:t>
      </w:r>
    </w:p>
    <w:p>
      <w:pPr>
        <w:ind w:firstLine="480"/>
        <w:rPr>
          <w:rFonts w:hint="eastAsia"/>
        </w:rPr>
      </w:pPr>
      <w:r>
        <w:rPr>
          <w:rFonts w:hint="eastAsia"/>
          <w:lang w:val="en-US" w:eastAsia="zh-CN"/>
        </w:rPr>
        <w:t>三</w:t>
      </w:r>
      <w:r>
        <w:rPr>
          <w:rFonts w:hint="eastAsia"/>
        </w:rPr>
        <w:t>是以教学测评促进教学效果。我院高度重视教学效果，每学期都进行教学效果调查，定期举行座谈会听取研究生意见反馈，将调查结果和研究生反馈情况作为授课质量评价的重要标准，及时与各任课老师沟通反馈，确保来年教学</w:t>
      </w:r>
      <w:r>
        <w:rPr>
          <w:rFonts w:hint="eastAsia"/>
          <w:lang w:val="en-US" w:eastAsia="zh-CN"/>
        </w:rPr>
        <w:t>质量</w:t>
      </w:r>
      <w:r>
        <w:rPr>
          <w:rFonts w:hint="eastAsia"/>
        </w:rPr>
        <w:t>的提升。</w:t>
      </w:r>
      <w:r>
        <w:rPr>
          <w:rFonts w:hint="eastAsia"/>
          <w:lang w:val="en-US" w:eastAsia="zh-CN"/>
        </w:rPr>
        <w:t>正在研究制定《广东省社会科学院听课管理办法（试行）》。</w:t>
      </w:r>
    </w:p>
    <w:p>
      <w:pPr>
        <w:pStyle w:val="5"/>
        <w:keepNext w:val="0"/>
        <w:keepLines w:val="0"/>
        <w:widowControl w:val="0"/>
        <w:ind w:firstLine="560" w:firstLineChars="200"/>
        <w:rPr>
          <w:rFonts w:hint="eastAsia"/>
        </w:rPr>
      </w:pPr>
      <w:r>
        <w:rPr>
          <w:rFonts w:hint="eastAsia"/>
        </w:rPr>
        <w:t>3.开展特色勤工助学活动</w:t>
      </w:r>
    </w:p>
    <w:p>
      <w:pPr>
        <w:ind w:firstLine="480"/>
        <w:rPr>
          <w:rFonts w:hint="eastAsia"/>
        </w:rPr>
      </w:pPr>
      <w:r>
        <w:rPr>
          <w:rFonts w:hint="eastAsia"/>
        </w:rPr>
        <w:t>在院党组、院行政</w:t>
      </w:r>
      <w:r>
        <w:rPr>
          <w:rFonts w:hint="eastAsia"/>
          <w:lang w:val="en-US" w:eastAsia="zh-CN"/>
        </w:rPr>
        <w:t>部门</w:t>
      </w:r>
      <w:r>
        <w:rPr>
          <w:rFonts w:hint="eastAsia"/>
        </w:rPr>
        <w:t>关心和支持下，通过“三助一辅”体系为研究生搭建勤工助学绿色通道，鼓励研究生参加劳动实践和勤工助学的岗位锻炼。助教、助研、助管及学生</w:t>
      </w:r>
      <w:r>
        <w:rPr>
          <w:rFonts w:hint="eastAsia"/>
          <w:lang w:val="en-US" w:eastAsia="zh-CN"/>
        </w:rPr>
        <w:t>服务</w:t>
      </w:r>
      <w:r>
        <w:rPr>
          <w:rFonts w:hint="eastAsia"/>
        </w:rPr>
        <w:t>工作，切实帮助研究生减轻经济负担，培养了研究生自立、自律、自强精神和勤劳节俭的优良品质，提高了研究生综合素质。</w:t>
      </w:r>
      <w:r>
        <w:rPr>
          <w:rFonts w:hint="eastAsia"/>
          <w:highlight w:val="none"/>
        </w:rPr>
        <w:t>202</w:t>
      </w:r>
      <w:r>
        <w:rPr>
          <w:rFonts w:hint="eastAsia"/>
          <w:highlight w:val="none"/>
          <w:lang w:eastAsia="zh-CN"/>
        </w:rPr>
        <w:t>3</w:t>
      </w:r>
      <w:r>
        <w:rPr>
          <w:rFonts w:hint="eastAsia"/>
          <w:highlight w:val="none"/>
        </w:rPr>
        <w:t>年，我院研究生参与勤工助学累计</w:t>
      </w:r>
      <w:r>
        <w:rPr>
          <w:rFonts w:hint="eastAsia"/>
          <w:highlight w:val="none"/>
          <w:lang w:eastAsia="zh-CN"/>
        </w:rPr>
        <w:t>7</w:t>
      </w:r>
      <w:r>
        <w:rPr>
          <w:rFonts w:hint="eastAsia"/>
          <w:highlight w:val="none"/>
          <w:lang w:val="en-US" w:eastAsia="zh-CN"/>
        </w:rPr>
        <w:t>1</w:t>
      </w:r>
      <w:r>
        <w:rPr>
          <w:rFonts w:hint="eastAsia"/>
          <w:highlight w:val="none"/>
        </w:rPr>
        <w:t>人次，发放勤工助学金39300元。</w:t>
      </w:r>
      <w:r>
        <w:rPr>
          <w:rFonts w:hint="eastAsia"/>
        </w:rPr>
        <w:t>参与勤工助学活动的同学们表示，通过参与这些活动，既暂时缓解了经济压力，又帮助提升了处理问题的能力，是非常有意义的活动。</w:t>
      </w:r>
    </w:p>
    <w:p>
      <w:pPr>
        <w:pStyle w:val="4"/>
        <w:keepNext w:val="0"/>
        <w:keepLines w:val="0"/>
        <w:widowControl w:val="0"/>
        <w:ind w:firstLine="602" w:firstLineChars="200"/>
        <w:rPr>
          <w:rFonts w:hint="eastAsia"/>
        </w:rPr>
      </w:pPr>
      <w:bookmarkStart w:id="193" w:name="_Toc127791883"/>
      <w:bookmarkStart w:id="194" w:name="_Toc26963"/>
      <w:bookmarkStart w:id="195" w:name="_Toc17253"/>
      <w:bookmarkStart w:id="196" w:name="_Toc789"/>
      <w:bookmarkStart w:id="197" w:name="_Toc30302"/>
      <w:bookmarkStart w:id="198" w:name="_Toc1222"/>
      <w:r>
        <w:rPr>
          <w:rFonts w:hint="eastAsia"/>
        </w:rPr>
        <w:t>（二）教学科研支撑</w:t>
      </w:r>
      <w:bookmarkEnd w:id="189"/>
      <w:bookmarkEnd w:id="190"/>
      <w:bookmarkEnd w:id="193"/>
      <w:bookmarkEnd w:id="194"/>
      <w:bookmarkEnd w:id="195"/>
      <w:bookmarkEnd w:id="196"/>
      <w:bookmarkEnd w:id="197"/>
      <w:bookmarkEnd w:id="198"/>
    </w:p>
    <w:p>
      <w:pPr>
        <w:ind w:firstLine="480"/>
        <w:rPr>
          <w:rFonts w:hint="eastAsia"/>
        </w:rPr>
      </w:pPr>
      <w:r>
        <w:rPr>
          <w:rFonts w:hint="eastAsia"/>
        </w:rPr>
        <w:t>我院作为广东省委、省政府</w:t>
      </w:r>
      <w:r>
        <w:rPr>
          <w:rFonts w:hint="eastAsia"/>
          <w:lang w:val="en-US" w:eastAsia="zh-CN"/>
        </w:rPr>
        <w:t>最</w:t>
      </w:r>
      <w:r>
        <w:rPr>
          <w:rFonts w:hint="eastAsia"/>
          <w:lang w:eastAsia="zh-CN"/>
        </w:rPr>
        <w:t>重要的新型智库</w:t>
      </w:r>
      <w:r>
        <w:rPr>
          <w:rFonts w:hint="eastAsia"/>
        </w:rPr>
        <w:t>，拥有省内首屈一指的理论研究平台，中央批准成立的广东省习近平新时代中国特色社会主义思想研究中心为全国18家中心之一，也是全国首批10家中心之一。高规格的国家级研究平台不仅有助于学习贯彻习近平新时代中国特色社会主义思想，也能为相关科学研究的开展提供理论支撑与平台基础。同时，我院依托社科院系统优势，拥有</w:t>
      </w:r>
      <w:r>
        <w:rPr>
          <w:rFonts w:hint="eastAsia"/>
          <w:lang w:val="en-US" w:eastAsia="zh-CN"/>
        </w:rPr>
        <w:t>众多</w:t>
      </w:r>
      <w:r>
        <w:rPr>
          <w:rFonts w:hint="eastAsia"/>
        </w:rPr>
        <w:t>支撑科研的共建平台、合作网络、实习基地和调研点。具体包括：</w:t>
      </w:r>
      <w:r>
        <w:rPr>
          <w:rFonts w:hint="eastAsia"/>
          <w:highlight w:val="none"/>
        </w:rPr>
        <w:t>广东省中国特色社会主义理论体系研究中心、广东省习近平新时代中国特色社会主义思想研究中心、全国古籍重点保护单位</w:t>
      </w:r>
      <w:r>
        <w:rPr>
          <w:rFonts w:hint="eastAsia"/>
          <w:highlight w:val="none"/>
          <w:lang w:val="en-US" w:eastAsia="zh-CN"/>
        </w:rPr>
        <w:t>等</w:t>
      </w:r>
      <w:r>
        <w:rPr>
          <w:rFonts w:hint="eastAsia"/>
          <w:highlight w:val="none"/>
        </w:rPr>
        <w:t>3家国家级科研平台</w:t>
      </w:r>
      <w:r>
        <w:rPr>
          <w:rFonts w:hint="eastAsia"/>
          <w:highlight w:val="none"/>
          <w:lang w:val="en-US" w:eastAsia="zh-CN"/>
        </w:rPr>
        <w:t>；</w:t>
      </w:r>
      <w:r>
        <w:rPr>
          <w:rFonts w:hint="eastAsia"/>
          <w:highlight w:val="none"/>
        </w:rPr>
        <w:t>广东省人才发展研究中心、广东省博士后创新实践基地、海洋强国建设重点实验室</w:t>
      </w:r>
      <w:r>
        <w:rPr>
          <w:rFonts w:hint="eastAsia"/>
          <w:highlight w:val="none"/>
          <w:lang w:eastAsia="zh-CN"/>
        </w:rPr>
        <w:t>、粤港澳大湾区研究院</w:t>
      </w:r>
      <w:r>
        <w:rPr>
          <w:rFonts w:hint="eastAsia"/>
          <w:highlight w:val="none"/>
          <w:lang w:val="en-US" w:eastAsia="zh-CN"/>
        </w:rPr>
        <w:t>等6</w:t>
      </w:r>
      <w:r>
        <w:rPr>
          <w:rFonts w:hint="eastAsia"/>
          <w:highlight w:val="none"/>
        </w:rPr>
        <w:t>个省级科研创新平台（见表1</w:t>
      </w:r>
      <w:r>
        <w:rPr>
          <w:rFonts w:hint="eastAsia"/>
          <w:highlight w:val="none"/>
          <w:lang w:eastAsia="zh-CN"/>
        </w:rPr>
        <w:t>4</w:t>
      </w:r>
      <w:r>
        <w:rPr>
          <w:rFonts w:hint="eastAsia"/>
          <w:highlight w:val="none"/>
        </w:rPr>
        <w:t>）</w:t>
      </w:r>
      <w:r>
        <w:rPr>
          <w:rFonts w:hint="eastAsia"/>
          <w:highlight w:val="none"/>
          <w:lang w:eastAsia="zh-CN"/>
        </w:rPr>
        <w:t>；设立</w:t>
      </w:r>
      <w:r>
        <w:rPr>
          <w:rFonts w:hint="eastAsia"/>
          <w:highlight w:val="none"/>
          <w:lang w:val="en-US" w:eastAsia="zh-CN"/>
        </w:rPr>
        <w:t>了</w:t>
      </w:r>
      <w:r>
        <w:rPr>
          <w:rFonts w:hint="eastAsia"/>
          <w:highlight w:val="none"/>
          <w:lang w:eastAsia="zh-CN"/>
        </w:rPr>
        <w:t>江门分院、梅州分院、潮州分院等10家分院</w:t>
      </w:r>
      <w:r>
        <w:rPr>
          <w:rFonts w:hint="eastAsia"/>
          <w:highlight w:val="none"/>
        </w:rPr>
        <w:t>及4个省情调研基地</w:t>
      </w:r>
      <w:r>
        <w:rPr>
          <w:rFonts w:hint="eastAsia"/>
        </w:rPr>
        <w:t>。此外，我院还与美国夏威夷大学、日本创价大学、北京大学等近10所国内外大学、研究机构建立了稳定合作关系，定期派遣师生交流访学。</w:t>
      </w:r>
      <w:bookmarkStart w:id="199" w:name="_Toc8703"/>
      <w:bookmarkStart w:id="200" w:name="_Toc67497732"/>
      <w:bookmarkStart w:id="201" w:name="_Toc67497695"/>
    </w:p>
    <w:p>
      <w:pPr>
        <w:pStyle w:val="4"/>
        <w:keepNext w:val="0"/>
        <w:keepLines w:val="0"/>
        <w:widowControl w:val="0"/>
        <w:ind w:firstLine="602" w:firstLineChars="200"/>
        <w:rPr>
          <w:rFonts w:hint="eastAsia"/>
        </w:rPr>
      </w:pPr>
      <w:bookmarkStart w:id="202" w:name="_Toc19876"/>
      <w:bookmarkStart w:id="203" w:name="_Toc22301"/>
      <w:bookmarkStart w:id="204" w:name="_Toc5477"/>
      <w:bookmarkStart w:id="205" w:name="_Toc10817"/>
      <w:bookmarkStart w:id="206" w:name="_Toc127791884"/>
      <w:r>
        <w:rPr>
          <w:rFonts w:hint="eastAsia"/>
        </w:rPr>
        <w:t>（三）经费保障</w:t>
      </w:r>
      <w:bookmarkEnd w:id="199"/>
      <w:bookmarkEnd w:id="200"/>
      <w:bookmarkEnd w:id="201"/>
      <w:bookmarkEnd w:id="202"/>
      <w:bookmarkEnd w:id="203"/>
      <w:bookmarkEnd w:id="204"/>
      <w:bookmarkEnd w:id="205"/>
      <w:bookmarkEnd w:id="206"/>
    </w:p>
    <w:p>
      <w:pPr>
        <w:ind w:firstLine="480"/>
        <w:rPr>
          <w:rFonts w:hint="eastAsia"/>
          <w:highlight w:val="none"/>
        </w:rPr>
      </w:pPr>
      <w:r>
        <w:rPr>
          <w:rFonts w:hint="eastAsia"/>
          <w:highlight w:val="none"/>
        </w:rPr>
        <w:t>我院十分重视研究生教育工作，202</w:t>
      </w:r>
      <w:r>
        <w:rPr>
          <w:rFonts w:hint="eastAsia"/>
          <w:highlight w:val="none"/>
          <w:lang w:eastAsia="zh-CN"/>
        </w:rPr>
        <w:t>3</w:t>
      </w:r>
      <w:r>
        <w:rPr>
          <w:rFonts w:hint="eastAsia"/>
          <w:highlight w:val="none"/>
        </w:rPr>
        <w:t>年投入3</w:t>
      </w:r>
      <w:r>
        <w:rPr>
          <w:rFonts w:hint="eastAsia"/>
          <w:highlight w:val="none"/>
          <w:lang w:val="en-US" w:eastAsia="zh-CN"/>
        </w:rPr>
        <w:t>63</w:t>
      </w:r>
      <w:r>
        <w:rPr>
          <w:rFonts w:hint="eastAsia"/>
          <w:highlight w:val="none"/>
        </w:rPr>
        <w:t>.5万元用于研究生教育。其中，高等教育学生资助资金78万元，专项经费2</w:t>
      </w:r>
      <w:r>
        <w:rPr>
          <w:rFonts w:hint="eastAsia"/>
          <w:highlight w:val="none"/>
          <w:lang w:val="en-US" w:eastAsia="zh-CN"/>
        </w:rPr>
        <w:t>85</w:t>
      </w:r>
      <w:r>
        <w:rPr>
          <w:rFonts w:hint="eastAsia"/>
          <w:highlight w:val="none"/>
        </w:rPr>
        <w:t>.5万元</w:t>
      </w:r>
      <w:r>
        <w:rPr>
          <w:rFonts w:hint="eastAsia"/>
          <w:highlight w:val="none"/>
          <w:lang w:val="en-US" w:eastAsia="zh-CN"/>
        </w:rPr>
        <w:t>，具体包括</w:t>
      </w:r>
      <w:r>
        <w:rPr>
          <w:rFonts w:hint="eastAsia"/>
          <w:highlight w:val="none"/>
        </w:rPr>
        <w:t>物业管理</w:t>
      </w:r>
      <w:r>
        <w:rPr>
          <w:rFonts w:hint="eastAsia"/>
          <w:highlight w:val="none"/>
          <w:lang w:val="en-US" w:eastAsia="zh-CN"/>
        </w:rPr>
        <w:t>服务及维修等费用124.21</w:t>
      </w:r>
      <w:r>
        <w:rPr>
          <w:rFonts w:hint="eastAsia"/>
          <w:highlight w:val="none"/>
        </w:rPr>
        <w:t>万元；研究生奖学金发放</w:t>
      </w:r>
      <w:r>
        <w:rPr>
          <w:rFonts w:hint="eastAsia"/>
          <w:highlight w:val="none"/>
          <w:lang w:eastAsia="zh-CN"/>
        </w:rPr>
        <w:t>4</w:t>
      </w:r>
      <w:r>
        <w:rPr>
          <w:rFonts w:hint="eastAsia"/>
          <w:highlight w:val="none"/>
          <w:lang w:val="en-US" w:eastAsia="zh-CN"/>
        </w:rPr>
        <w:t>4.2</w:t>
      </w:r>
      <w:r>
        <w:rPr>
          <w:rFonts w:hint="eastAsia"/>
          <w:highlight w:val="none"/>
        </w:rPr>
        <w:t>万元；助学金发放</w:t>
      </w:r>
      <w:r>
        <w:rPr>
          <w:rFonts w:hint="eastAsia"/>
          <w:highlight w:val="none"/>
          <w:lang w:eastAsia="zh-CN"/>
        </w:rPr>
        <w:t>8</w:t>
      </w:r>
      <w:r>
        <w:rPr>
          <w:rFonts w:hint="eastAsia"/>
          <w:highlight w:val="none"/>
          <w:lang w:val="en-US" w:eastAsia="zh-CN"/>
        </w:rPr>
        <w:t>2.35</w:t>
      </w:r>
      <w:r>
        <w:rPr>
          <w:rFonts w:hint="eastAsia"/>
          <w:highlight w:val="none"/>
        </w:rPr>
        <w:t>万元；勤工助学金发放</w:t>
      </w:r>
      <w:r>
        <w:rPr>
          <w:rFonts w:hint="eastAsia"/>
          <w:highlight w:val="none"/>
          <w:lang w:eastAsia="zh-CN"/>
        </w:rPr>
        <w:t>3</w:t>
      </w:r>
      <w:r>
        <w:rPr>
          <w:rFonts w:hint="eastAsia"/>
          <w:highlight w:val="none"/>
          <w:lang w:val="en-US" w:eastAsia="zh-CN"/>
        </w:rPr>
        <w:t>.93</w:t>
      </w:r>
      <w:r>
        <w:rPr>
          <w:rFonts w:hint="eastAsia"/>
          <w:highlight w:val="none"/>
        </w:rPr>
        <w:t>万元。其他经费用于研究生伙食补贴和研究生部日常运作相关事务。上述经费分配既可充分保障研究生服务和生活质量，又可充分激发研究生学习和科研热情，奋勇争先。</w:t>
      </w:r>
    </w:p>
    <w:p>
      <w:pPr>
        <w:pStyle w:val="4"/>
        <w:keepNext w:val="0"/>
        <w:keepLines w:val="0"/>
        <w:widowControl w:val="0"/>
        <w:ind w:firstLine="602" w:firstLineChars="200"/>
        <w:rPr>
          <w:rFonts w:hint="eastAsia"/>
        </w:rPr>
      </w:pPr>
      <w:bookmarkStart w:id="207" w:name="_Toc8583"/>
      <w:bookmarkStart w:id="208" w:name="_Toc127791885"/>
      <w:bookmarkStart w:id="209" w:name="_Toc67497696"/>
      <w:bookmarkStart w:id="210" w:name="_Toc30688"/>
      <w:bookmarkStart w:id="211" w:name="_Toc67497733"/>
      <w:bookmarkStart w:id="212" w:name="_Toc29815"/>
      <w:bookmarkStart w:id="213" w:name="_Toc8623"/>
      <w:bookmarkStart w:id="214" w:name="_Toc2435"/>
      <w:r>
        <w:rPr>
          <w:rFonts w:hint="eastAsia"/>
        </w:rPr>
        <w:t>（四）文献资源保障和信息服务</w:t>
      </w:r>
      <w:bookmarkEnd w:id="207"/>
      <w:bookmarkEnd w:id="208"/>
      <w:bookmarkEnd w:id="209"/>
      <w:bookmarkEnd w:id="210"/>
      <w:bookmarkEnd w:id="211"/>
      <w:bookmarkEnd w:id="212"/>
      <w:bookmarkEnd w:id="213"/>
      <w:bookmarkEnd w:id="214"/>
    </w:p>
    <w:p>
      <w:pPr>
        <w:ind w:firstLine="480"/>
        <w:rPr>
          <w:rFonts w:hint="eastAsia"/>
        </w:rPr>
      </w:pPr>
      <w:r>
        <w:rPr>
          <w:rFonts w:hint="eastAsia"/>
        </w:rPr>
        <w:t>依托单位图书馆，图书、期刊、数据库等丰富的学术资源，我院研究生可借</w:t>
      </w:r>
      <w:r>
        <w:rPr>
          <w:rFonts w:hint="eastAsia"/>
          <w:highlight w:val="none"/>
        </w:rPr>
        <w:t>阅的中、外文藏书合计超过40万册，订阅的中文</w:t>
      </w:r>
      <w:r>
        <w:rPr>
          <w:rFonts w:hint="eastAsia"/>
          <w:highlight w:val="none"/>
          <w:lang w:val="en-US" w:eastAsia="zh-CN"/>
        </w:rPr>
        <w:t>报</w:t>
      </w:r>
      <w:r>
        <w:rPr>
          <w:rFonts w:hint="eastAsia"/>
          <w:highlight w:val="none"/>
        </w:rPr>
        <w:t>刊</w:t>
      </w:r>
      <w:r>
        <w:rPr>
          <w:rFonts w:hint="eastAsia"/>
          <w:highlight w:val="none"/>
          <w:lang w:eastAsia="zh-CN"/>
        </w:rPr>
        <w:t>1</w:t>
      </w:r>
      <w:r>
        <w:rPr>
          <w:rFonts w:hint="eastAsia"/>
          <w:highlight w:val="none"/>
          <w:lang w:val="en-US" w:eastAsia="zh-CN"/>
        </w:rPr>
        <w:t>10</w:t>
      </w:r>
      <w:r>
        <w:rPr>
          <w:rFonts w:hint="eastAsia"/>
          <w:highlight w:val="none"/>
        </w:rPr>
        <w:t>种</w:t>
      </w:r>
      <w:r>
        <w:rPr>
          <w:rFonts w:hint="eastAsia"/>
        </w:rPr>
        <w:t>，同时，我院图书馆还订购了中国知网、国家哲学社会科学学术期刊数据库、中国优秀硕士学位论文全文数据库、中国博士学位论文全文数据库、中国权威经济论文库等文献数据库，全球人文社科研究成果库、全国报刊索引数据库、Wind数据库、国研网数据库等专业数据库以及爱思唯尔外文数据库等电子资源，为我院研究生开展科学研究提供了充足的文献资源保障。</w:t>
      </w:r>
    </w:p>
    <w:p>
      <w:pPr>
        <w:pStyle w:val="3"/>
        <w:keepNext w:val="0"/>
        <w:keepLines w:val="0"/>
        <w:widowControl w:val="0"/>
        <w:ind w:firstLine="723" w:firstLineChars="200"/>
        <w:rPr>
          <w:rFonts w:hint="eastAsia"/>
        </w:rPr>
      </w:pPr>
      <w:bookmarkStart w:id="215" w:name="_Toc13840"/>
      <w:bookmarkStart w:id="216" w:name="_Toc17811"/>
      <w:bookmarkStart w:id="217" w:name="_Toc67497697"/>
      <w:bookmarkStart w:id="218" w:name="_Toc127791886"/>
      <w:bookmarkStart w:id="219" w:name="_Toc27618"/>
      <w:bookmarkStart w:id="220" w:name="_Toc67497734"/>
      <w:bookmarkStart w:id="221" w:name="_Toc25111"/>
      <w:bookmarkStart w:id="222" w:name="_Toc16394"/>
      <w:r>
        <w:rPr>
          <w:rFonts w:hint="eastAsia"/>
        </w:rPr>
        <w:t>六、教育质量评估与分析</w:t>
      </w:r>
      <w:bookmarkEnd w:id="215"/>
      <w:bookmarkEnd w:id="216"/>
      <w:bookmarkEnd w:id="217"/>
      <w:bookmarkEnd w:id="218"/>
      <w:bookmarkEnd w:id="219"/>
      <w:bookmarkEnd w:id="220"/>
      <w:bookmarkEnd w:id="221"/>
      <w:bookmarkEnd w:id="222"/>
    </w:p>
    <w:p>
      <w:pPr>
        <w:pStyle w:val="4"/>
        <w:keepNext w:val="0"/>
        <w:keepLines w:val="0"/>
        <w:widowControl w:val="0"/>
        <w:ind w:firstLine="602" w:firstLineChars="200"/>
        <w:rPr>
          <w:rFonts w:hint="eastAsia"/>
        </w:rPr>
      </w:pPr>
      <w:bookmarkStart w:id="223" w:name="_Toc67497735"/>
      <w:bookmarkStart w:id="224" w:name="_Toc31457"/>
      <w:bookmarkStart w:id="225" w:name="_Toc18032"/>
      <w:bookmarkStart w:id="226" w:name="_Toc67497698"/>
      <w:bookmarkStart w:id="227" w:name="_Toc12353"/>
      <w:bookmarkStart w:id="228" w:name="_Toc127791887"/>
      <w:bookmarkStart w:id="229" w:name="_Toc13526"/>
      <w:bookmarkStart w:id="230" w:name="_Toc20666"/>
      <w:bookmarkStart w:id="231" w:name="_Toc67260877"/>
      <w:r>
        <w:rPr>
          <w:rFonts w:hint="eastAsia"/>
        </w:rPr>
        <w:t>（一）学科自我评估进展和问题</w:t>
      </w:r>
      <w:bookmarkEnd w:id="223"/>
      <w:bookmarkEnd w:id="224"/>
      <w:bookmarkEnd w:id="225"/>
      <w:bookmarkEnd w:id="226"/>
      <w:bookmarkEnd w:id="227"/>
      <w:bookmarkEnd w:id="228"/>
      <w:bookmarkEnd w:id="229"/>
      <w:bookmarkEnd w:id="230"/>
      <w:bookmarkEnd w:id="231"/>
    </w:p>
    <w:p>
      <w:pPr>
        <w:pStyle w:val="5"/>
        <w:keepNext w:val="0"/>
        <w:keepLines w:val="0"/>
        <w:widowControl w:val="0"/>
        <w:ind w:firstLine="560" w:firstLineChars="200"/>
        <w:rPr>
          <w:rFonts w:hint="eastAsia"/>
        </w:rPr>
      </w:pPr>
      <w:bookmarkStart w:id="232" w:name="_Toc27580"/>
      <w:r>
        <w:rPr>
          <w:rFonts w:hint="eastAsia"/>
        </w:rPr>
        <w:t>1.自我评估进展</w:t>
      </w:r>
      <w:bookmarkEnd w:id="232"/>
    </w:p>
    <w:p>
      <w:pPr>
        <w:ind w:firstLine="480"/>
        <w:rPr>
          <w:rFonts w:hint="eastAsia"/>
        </w:rPr>
      </w:pPr>
      <w:r>
        <w:rPr>
          <w:rFonts w:hint="eastAsia"/>
        </w:rPr>
        <w:t>根据《国务院学位委员会 教育部关于修订印发&lt;学位授权点合格评估办法&gt;的通知》和《广东省学位委员会转发关于2020-2025年学位点周期性合格评估若干事项安排的通知》，我院制定了《2020-2025年广东省社会科学院学位授权点自我评估工作方案》（以下简称《工作方案》）。当前，正按照《工作方案》的时间节点</w:t>
      </w:r>
      <w:r>
        <w:rPr>
          <w:rFonts w:hint="eastAsia"/>
          <w:lang w:val="en-US" w:eastAsia="zh-CN"/>
        </w:rPr>
        <w:t>按时</w:t>
      </w:r>
      <w:r>
        <w:rPr>
          <w:rFonts w:hint="eastAsia"/>
        </w:rPr>
        <w:t>推进。</w:t>
      </w:r>
    </w:p>
    <w:p>
      <w:pPr>
        <w:ind w:firstLine="480"/>
        <w:rPr>
          <w:rFonts w:hint="eastAsia"/>
        </w:rPr>
      </w:pPr>
      <w:r>
        <w:rPr>
          <w:rFonts w:hint="eastAsia"/>
        </w:rPr>
        <w:t>根据表1</w:t>
      </w:r>
      <w:r>
        <w:rPr>
          <w:rFonts w:hint="eastAsia"/>
          <w:lang w:val="en-US" w:eastAsia="zh-CN"/>
        </w:rPr>
        <w:t>7</w:t>
      </w:r>
      <w:r>
        <w:rPr>
          <w:rFonts w:hint="eastAsia"/>
        </w:rPr>
        <w:t>的时间安排，当前我院的自我评估工作已进行至2023年的年度报告编制阶段。目的在于通过编制年度建设报告、质量报告，发现我院上年度研究生培养、导师和教师队伍建设以及研究生管理服务等方面存在的问题，并提出解决方案。通过动态化、可持续的方式以及内部自我评估和外部监督评估相结合，确保我院研究生培养质量保持平稳并不断提升，为我国社会主义建设事业，为政府部门、高等院校、科研机构、各类企事业单位输送更多更高素质的</w:t>
      </w:r>
      <w:r>
        <w:rPr>
          <w:rFonts w:hint="eastAsia"/>
          <w:lang w:val="en-US" w:eastAsia="zh-CN"/>
        </w:rPr>
        <w:t>复合型</w:t>
      </w:r>
      <w:r>
        <w:rPr>
          <w:rFonts w:hint="eastAsia"/>
        </w:rPr>
        <w:t>专业人才。</w:t>
      </w:r>
    </w:p>
    <w:p>
      <w:pPr>
        <w:pStyle w:val="6"/>
        <w:keepNext w:val="0"/>
        <w:keepLines w:val="0"/>
        <w:spacing w:before="0" w:beforeLines="0" w:after="157" w:afterLines="50" w:line="240" w:lineRule="auto"/>
        <w:rPr>
          <w:rFonts w:hint="default" w:ascii="Times New Roman" w:hAnsi="Times New Roman"/>
          <w:b/>
          <w:bCs w:val="0"/>
        </w:rPr>
      </w:pPr>
    </w:p>
    <w:p>
      <w:pPr>
        <w:pStyle w:val="6"/>
        <w:keepNext w:val="0"/>
        <w:keepLines w:val="0"/>
        <w:spacing w:before="0" w:beforeLines="0" w:after="157" w:afterLines="50" w:line="240" w:lineRule="auto"/>
        <w:rPr>
          <w:rFonts w:hint="default" w:ascii="Times New Roman" w:hAnsi="Times New Roman"/>
          <w:b/>
          <w:bCs w:val="0"/>
        </w:rPr>
      </w:pPr>
    </w:p>
    <w:p>
      <w:pPr>
        <w:pStyle w:val="6"/>
        <w:keepNext w:val="0"/>
        <w:keepLines w:val="0"/>
        <w:spacing w:before="0" w:beforeLines="0" w:after="157" w:afterLines="50" w:line="240" w:lineRule="auto"/>
        <w:rPr>
          <w:rFonts w:hint="default" w:ascii="Times New Roman" w:hAnsi="Times New Roman"/>
          <w:b/>
          <w:bCs w:val="0"/>
        </w:rPr>
      </w:pPr>
      <w:r>
        <w:rPr>
          <w:rFonts w:hint="default" w:ascii="Times New Roman" w:hAnsi="Times New Roman"/>
          <w:b/>
          <w:bCs w:val="0"/>
        </w:rPr>
        <w:t>表</w:t>
      </w:r>
      <w:r>
        <w:rPr>
          <w:rFonts w:hint="default" w:ascii="Times New Roman" w:hAnsi="Times New Roman"/>
          <w:b/>
          <w:bCs w:val="0"/>
        </w:rPr>
        <w:fldChar w:fldCharType="begin"/>
      </w:r>
      <w:r>
        <w:rPr>
          <w:rFonts w:hint="default" w:ascii="Times New Roman" w:hAnsi="Times New Roman"/>
          <w:b/>
          <w:bCs w:val="0"/>
        </w:rPr>
        <w:instrText xml:space="preserve"> SEQ 表 \* ARABIC </w:instrText>
      </w:r>
      <w:r>
        <w:rPr>
          <w:rFonts w:hint="default" w:ascii="Times New Roman" w:hAnsi="Times New Roman"/>
          <w:b/>
          <w:bCs w:val="0"/>
        </w:rPr>
        <w:fldChar w:fldCharType="separate"/>
      </w:r>
      <w:r>
        <w:rPr>
          <w:rFonts w:ascii="Times New Roman" w:hAnsi="Times New Roman"/>
          <w:b/>
          <w:bCs w:val="0"/>
        </w:rPr>
        <w:t>1</w:t>
      </w:r>
      <w:r>
        <w:rPr>
          <w:rFonts w:hint="default" w:ascii="Times New Roman" w:hAnsi="Times New Roman"/>
          <w:b/>
          <w:bCs w:val="0"/>
        </w:rPr>
        <w:fldChar w:fldCharType="end"/>
      </w:r>
      <w:r>
        <w:rPr>
          <w:rFonts w:hint="eastAsia" w:ascii="Times New Roman" w:hAnsi="Times New Roman"/>
          <w:b/>
          <w:bCs w:val="0"/>
          <w:lang w:val="en-US" w:eastAsia="zh-CN"/>
        </w:rPr>
        <w:t>7</w:t>
      </w:r>
      <w:r>
        <w:rPr>
          <w:rFonts w:hint="default" w:ascii="Times New Roman" w:hAnsi="Times New Roman"/>
          <w:b/>
          <w:bCs w:val="0"/>
        </w:rPr>
        <w:t xml:space="preserve">  2021-2025年自我评估工作时间节点</w:t>
      </w:r>
    </w:p>
    <w:tbl>
      <w:tblPr>
        <w:tblStyle w:val="1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4"/>
        <w:gridCol w:w="1664"/>
        <w:gridCol w:w="3691"/>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105" w:type="pct"/>
            <w:noWrap w:val="0"/>
            <w:vAlign w:val="center"/>
          </w:tcPr>
          <w:p>
            <w:pPr>
              <w:pStyle w:val="30"/>
              <w:widowControl w:val="0"/>
              <w:spacing w:line="240" w:lineRule="auto"/>
            </w:pPr>
            <w:r>
              <w:t>工作时间</w:t>
            </w:r>
          </w:p>
        </w:tc>
        <w:tc>
          <w:tcPr>
            <w:tcW w:w="976" w:type="pct"/>
            <w:noWrap w:val="0"/>
            <w:vAlign w:val="center"/>
          </w:tcPr>
          <w:p>
            <w:pPr>
              <w:pStyle w:val="30"/>
              <w:widowControl w:val="0"/>
              <w:spacing w:line="240" w:lineRule="auto"/>
            </w:pPr>
            <w:r>
              <w:t>工作概要</w:t>
            </w:r>
          </w:p>
        </w:tc>
        <w:tc>
          <w:tcPr>
            <w:tcW w:w="2165" w:type="pct"/>
            <w:noWrap w:val="0"/>
            <w:vAlign w:val="center"/>
          </w:tcPr>
          <w:p>
            <w:pPr>
              <w:pStyle w:val="30"/>
              <w:widowControl w:val="0"/>
              <w:spacing w:line="240" w:lineRule="auto"/>
            </w:pPr>
            <w:r>
              <w:t>工作内容</w:t>
            </w:r>
          </w:p>
        </w:tc>
        <w:tc>
          <w:tcPr>
            <w:tcW w:w="751" w:type="pct"/>
            <w:noWrap w:val="0"/>
            <w:vAlign w:val="center"/>
          </w:tcPr>
          <w:p>
            <w:pPr>
              <w:pStyle w:val="30"/>
              <w:widowControl w:val="0"/>
              <w:spacing w:line="240" w:lineRule="auto"/>
            </w:pPr>
            <w:r>
              <w:t>实施单位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pct"/>
            <w:noWrap w:val="0"/>
            <w:vAlign w:val="center"/>
          </w:tcPr>
          <w:p>
            <w:pPr>
              <w:pStyle w:val="30"/>
              <w:widowControl w:val="0"/>
              <w:spacing w:line="240" w:lineRule="auto"/>
            </w:pPr>
            <w:r>
              <w:t>2021年2月</w:t>
            </w:r>
          </w:p>
        </w:tc>
        <w:tc>
          <w:tcPr>
            <w:tcW w:w="976" w:type="pct"/>
            <w:noWrap w:val="0"/>
            <w:vAlign w:val="center"/>
          </w:tcPr>
          <w:p>
            <w:pPr>
              <w:pStyle w:val="30"/>
              <w:widowControl w:val="0"/>
              <w:spacing w:line="240" w:lineRule="auto"/>
            </w:pPr>
            <w:r>
              <w:t>学习文件</w:t>
            </w:r>
          </w:p>
        </w:tc>
        <w:tc>
          <w:tcPr>
            <w:tcW w:w="2165" w:type="pct"/>
            <w:noWrap w:val="0"/>
            <w:vAlign w:val="center"/>
          </w:tcPr>
          <w:p>
            <w:pPr>
              <w:pStyle w:val="30"/>
              <w:widowControl w:val="0"/>
              <w:spacing w:line="240" w:lineRule="auto"/>
            </w:pPr>
            <w:r>
              <w:t>《国务院学位委员会 教育部关于开展2020-2025年学位授权点周期性合格评估工作的通知》（学位〔2020〕26号）、《学位授权点合格评估办法》（学位〔2020〕25号）</w:t>
            </w:r>
          </w:p>
        </w:tc>
        <w:tc>
          <w:tcPr>
            <w:tcW w:w="751" w:type="pct"/>
            <w:noWrap w:val="0"/>
            <w:vAlign w:val="center"/>
          </w:tcPr>
          <w:p>
            <w:pPr>
              <w:pStyle w:val="30"/>
              <w:widowControl w:val="0"/>
              <w:spacing w:line="240" w:lineRule="auto"/>
            </w:pPr>
            <w:r>
              <w:t>评估工作领导小组、研究生部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pct"/>
            <w:noWrap w:val="0"/>
            <w:vAlign w:val="center"/>
          </w:tcPr>
          <w:p>
            <w:pPr>
              <w:pStyle w:val="30"/>
              <w:widowControl w:val="0"/>
              <w:spacing w:line="240" w:lineRule="auto"/>
            </w:pPr>
            <w:r>
              <w:t>2021-2025年3月15日前</w:t>
            </w:r>
          </w:p>
        </w:tc>
        <w:tc>
          <w:tcPr>
            <w:tcW w:w="976" w:type="pct"/>
            <w:noWrap w:val="0"/>
            <w:vAlign w:val="center"/>
          </w:tcPr>
          <w:p>
            <w:pPr>
              <w:pStyle w:val="30"/>
              <w:widowControl w:val="0"/>
              <w:spacing w:line="240" w:lineRule="auto"/>
            </w:pPr>
            <w:r>
              <w:t>编制年度报告上报</w:t>
            </w:r>
          </w:p>
        </w:tc>
        <w:tc>
          <w:tcPr>
            <w:tcW w:w="2165" w:type="pct"/>
            <w:noWrap w:val="0"/>
            <w:vAlign w:val="center"/>
          </w:tcPr>
          <w:p>
            <w:pPr>
              <w:pStyle w:val="30"/>
              <w:widowControl w:val="0"/>
              <w:spacing w:line="240" w:lineRule="auto"/>
            </w:pPr>
            <w:r>
              <w:t>各学位授权点编制《研究生教育发展质量年度报告》、《学位授权点建设年度报告》，上报省教育厅备案，脱密后按年度在本单位门户网站发布</w:t>
            </w:r>
          </w:p>
        </w:tc>
        <w:tc>
          <w:tcPr>
            <w:tcW w:w="751" w:type="pct"/>
            <w:noWrap w:val="0"/>
            <w:vAlign w:val="center"/>
          </w:tcPr>
          <w:p>
            <w:pPr>
              <w:pStyle w:val="30"/>
              <w:widowControl w:val="0"/>
              <w:spacing w:line="240" w:lineRule="auto"/>
            </w:pPr>
            <w:r>
              <w:t>评估工作领导小组、研究生部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pct"/>
            <w:noWrap w:val="0"/>
            <w:vAlign w:val="center"/>
          </w:tcPr>
          <w:p>
            <w:pPr>
              <w:pStyle w:val="30"/>
              <w:widowControl w:val="0"/>
              <w:spacing w:line="240" w:lineRule="auto"/>
            </w:pPr>
            <w:r>
              <w:t>2021年4月6日前</w:t>
            </w:r>
          </w:p>
        </w:tc>
        <w:tc>
          <w:tcPr>
            <w:tcW w:w="976" w:type="pct"/>
            <w:noWrap w:val="0"/>
            <w:vAlign w:val="center"/>
          </w:tcPr>
          <w:p>
            <w:pPr>
              <w:pStyle w:val="30"/>
              <w:widowControl w:val="0"/>
              <w:spacing w:line="240" w:lineRule="auto"/>
            </w:pPr>
            <w:r>
              <w:t>上报参评点</w:t>
            </w:r>
          </w:p>
        </w:tc>
        <w:tc>
          <w:tcPr>
            <w:tcW w:w="2165" w:type="pct"/>
            <w:noWrap w:val="0"/>
            <w:vAlign w:val="center"/>
          </w:tcPr>
          <w:p>
            <w:pPr>
              <w:pStyle w:val="30"/>
              <w:widowControl w:val="0"/>
              <w:spacing w:line="240" w:lineRule="auto"/>
            </w:pPr>
            <w:r>
              <w:t>应用经济学（020200）、社会学（030300）、中国史（060200）3个一级学科授权点参评。报省教育厅备案</w:t>
            </w:r>
          </w:p>
        </w:tc>
        <w:tc>
          <w:tcPr>
            <w:tcW w:w="751" w:type="pct"/>
            <w:noWrap w:val="0"/>
            <w:vAlign w:val="center"/>
          </w:tcPr>
          <w:p>
            <w:pPr>
              <w:pStyle w:val="30"/>
              <w:widowControl w:val="0"/>
              <w:spacing w:line="240" w:lineRule="auto"/>
            </w:pPr>
            <w:r>
              <w:t>研究生部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pct"/>
            <w:noWrap w:val="0"/>
            <w:vAlign w:val="center"/>
          </w:tcPr>
          <w:p>
            <w:pPr>
              <w:pStyle w:val="30"/>
              <w:widowControl w:val="0"/>
              <w:spacing w:line="240" w:lineRule="auto"/>
            </w:pPr>
            <w:r>
              <w:t>2021年5月10前</w:t>
            </w:r>
          </w:p>
        </w:tc>
        <w:tc>
          <w:tcPr>
            <w:tcW w:w="976" w:type="pct"/>
            <w:noWrap w:val="0"/>
            <w:vAlign w:val="center"/>
          </w:tcPr>
          <w:p>
            <w:pPr>
              <w:pStyle w:val="30"/>
              <w:widowControl w:val="0"/>
              <w:spacing w:line="240" w:lineRule="auto"/>
            </w:pPr>
            <w:r>
              <w:t>起草、最后确定工作方案</w:t>
            </w:r>
          </w:p>
        </w:tc>
        <w:tc>
          <w:tcPr>
            <w:tcW w:w="2165" w:type="pct"/>
            <w:noWrap w:val="0"/>
            <w:vAlign w:val="center"/>
          </w:tcPr>
          <w:p>
            <w:pPr>
              <w:pStyle w:val="30"/>
              <w:widowControl w:val="0"/>
              <w:spacing w:line="240" w:lineRule="auto"/>
            </w:pPr>
            <w:r>
              <w:t>起草、确定《评估工作方案》，上报“全国学位与研究生教育质量信息平台”向社会公布</w:t>
            </w:r>
          </w:p>
        </w:tc>
        <w:tc>
          <w:tcPr>
            <w:tcW w:w="751" w:type="pct"/>
            <w:noWrap w:val="0"/>
            <w:vAlign w:val="center"/>
          </w:tcPr>
          <w:p>
            <w:pPr>
              <w:pStyle w:val="30"/>
              <w:widowControl w:val="0"/>
              <w:spacing w:line="240" w:lineRule="auto"/>
            </w:pPr>
            <w:r>
              <w:t>评估工作领导小组、研究生部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pct"/>
            <w:noWrap w:val="0"/>
            <w:vAlign w:val="center"/>
          </w:tcPr>
          <w:p>
            <w:pPr>
              <w:pStyle w:val="30"/>
              <w:widowControl w:val="0"/>
              <w:spacing w:line="240" w:lineRule="auto"/>
            </w:pPr>
            <w:r>
              <w:t>2021年4-5月</w:t>
            </w:r>
          </w:p>
        </w:tc>
        <w:tc>
          <w:tcPr>
            <w:tcW w:w="976" w:type="pct"/>
            <w:noWrap w:val="0"/>
            <w:vAlign w:val="center"/>
          </w:tcPr>
          <w:p>
            <w:pPr>
              <w:pStyle w:val="30"/>
              <w:widowControl w:val="0"/>
              <w:spacing w:line="240" w:lineRule="auto"/>
            </w:pPr>
            <w:r>
              <w:t>聘请专家，初步沟通</w:t>
            </w:r>
          </w:p>
        </w:tc>
        <w:tc>
          <w:tcPr>
            <w:tcW w:w="2165" w:type="pct"/>
            <w:noWrap w:val="0"/>
            <w:vAlign w:val="center"/>
          </w:tcPr>
          <w:p>
            <w:pPr>
              <w:pStyle w:val="30"/>
              <w:widowControl w:val="0"/>
              <w:spacing w:line="240" w:lineRule="auto"/>
            </w:pPr>
            <w:r>
              <w:t>聘请不少于5名本学科领域水平较高专家，进行初步沟通，听取对评估工作安排的意见</w:t>
            </w:r>
          </w:p>
        </w:tc>
        <w:tc>
          <w:tcPr>
            <w:tcW w:w="751" w:type="pct"/>
            <w:noWrap w:val="0"/>
            <w:vAlign w:val="center"/>
          </w:tcPr>
          <w:p>
            <w:pPr>
              <w:pStyle w:val="30"/>
              <w:widowControl w:val="0"/>
              <w:spacing w:line="240" w:lineRule="auto"/>
            </w:pPr>
            <w:r>
              <w:t>各导师组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pct"/>
            <w:noWrap w:val="0"/>
            <w:vAlign w:val="center"/>
          </w:tcPr>
          <w:p>
            <w:pPr>
              <w:pStyle w:val="30"/>
              <w:widowControl w:val="0"/>
              <w:spacing w:line="240" w:lineRule="auto"/>
            </w:pPr>
            <w:r>
              <w:t>2021年7月-2022年9月</w:t>
            </w:r>
          </w:p>
        </w:tc>
        <w:tc>
          <w:tcPr>
            <w:tcW w:w="976" w:type="pct"/>
            <w:noWrap w:val="0"/>
            <w:vAlign w:val="center"/>
          </w:tcPr>
          <w:p>
            <w:pPr>
              <w:pStyle w:val="30"/>
              <w:widowControl w:val="0"/>
              <w:spacing w:line="240" w:lineRule="auto"/>
            </w:pPr>
            <w:r>
              <w:t>准备材料，进行自我评估</w:t>
            </w:r>
          </w:p>
        </w:tc>
        <w:tc>
          <w:tcPr>
            <w:tcW w:w="2165" w:type="pct"/>
            <w:noWrap w:val="0"/>
            <w:vAlign w:val="center"/>
          </w:tcPr>
          <w:p>
            <w:pPr>
              <w:pStyle w:val="30"/>
              <w:widowControl w:val="0"/>
              <w:spacing w:line="240" w:lineRule="auto"/>
            </w:pPr>
            <w:r>
              <w:t>根据最终确定的评估安排和要求，组织自我评估材料。评估材料提前发送专家，根据专家意见，补充完善自评材料</w:t>
            </w:r>
          </w:p>
        </w:tc>
        <w:tc>
          <w:tcPr>
            <w:tcW w:w="751" w:type="pct"/>
            <w:noWrap w:val="0"/>
            <w:vAlign w:val="center"/>
          </w:tcPr>
          <w:p>
            <w:pPr>
              <w:pStyle w:val="30"/>
              <w:widowControl w:val="0"/>
              <w:spacing w:line="240" w:lineRule="auto"/>
            </w:pPr>
            <w:r>
              <w:t>各导师组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pct"/>
            <w:noWrap w:val="0"/>
            <w:vAlign w:val="center"/>
          </w:tcPr>
          <w:p>
            <w:pPr>
              <w:pStyle w:val="30"/>
              <w:widowControl w:val="0"/>
              <w:spacing w:line="240" w:lineRule="auto"/>
            </w:pPr>
            <w:r>
              <w:t>2022年3月、2025年3月底</w:t>
            </w:r>
          </w:p>
        </w:tc>
        <w:tc>
          <w:tcPr>
            <w:tcW w:w="976" w:type="pct"/>
            <w:noWrap w:val="0"/>
            <w:vAlign w:val="center"/>
          </w:tcPr>
          <w:p>
            <w:pPr>
              <w:pStyle w:val="30"/>
              <w:widowControl w:val="0"/>
              <w:spacing w:line="240" w:lineRule="auto"/>
            </w:pPr>
            <w:r>
              <w:t>填报《学位授权点基本状态信息表》</w:t>
            </w:r>
          </w:p>
        </w:tc>
        <w:tc>
          <w:tcPr>
            <w:tcW w:w="2165" w:type="pct"/>
            <w:noWrap w:val="0"/>
            <w:vAlign w:val="center"/>
          </w:tcPr>
          <w:p>
            <w:pPr>
              <w:pStyle w:val="30"/>
              <w:widowControl w:val="0"/>
              <w:spacing w:line="240" w:lineRule="auto"/>
            </w:pPr>
            <w:r>
              <w:t>填报《学位授权点基本状态信息表》上报国务院学位委员会办公室、省学位委员会</w:t>
            </w:r>
          </w:p>
        </w:tc>
        <w:tc>
          <w:tcPr>
            <w:tcW w:w="751" w:type="pct"/>
            <w:noWrap w:val="0"/>
            <w:vAlign w:val="center"/>
          </w:tcPr>
          <w:p>
            <w:pPr>
              <w:pStyle w:val="30"/>
              <w:widowControl w:val="0"/>
              <w:spacing w:line="240" w:lineRule="auto"/>
            </w:pPr>
            <w:r>
              <w:t>各导师组、研究生部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pct"/>
            <w:noWrap w:val="0"/>
            <w:vAlign w:val="center"/>
          </w:tcPr>
          <w:p>
            <w:pPr>
              <w:pStyle w:val="30"/>
              <w:widowControl w:val="0"/>
              <w:spacing w:line="240" w:lineRule="auto"/>
            </w:pPr>
            <w:r>
              <w:t>2022年9月-2023年5月</w:t>
            </w:r>
          </w:p>
        </w:tc>
        <w:tc>
          <w:tcPr>
            <w:tcW w:w="976" w:type="pct"/>
            <w:noWrap w:val="0"/>
            <w:vAlign w:val="center"/>
          </w:tcPr>
          <w:p>
            <w:pPr>
              <w:pStyle w:val="30"/>
              <w:widowControl w:val="0"/>
              <w:spacing w:line="240" w:lineRule="auto"/>
            </w:pPr>
            <w:r>
              <w:t>专家评估</w:t>
            </w:r>
          </w:p>
        </w:tc>
        <w:tc>
          <w:tcPr>
            <w:tcW w:w="2165" w:type="pct"/>
            <w:noWrap w:val="0"/>
            <w:vAlign w:val="center"/>
          </w:tcPr>
          <w:p>
            <w:pPr>
              <w:pStyle w:val="30"/>
              <w:widowControl w:val="0"/>
              <w:spacing w:line="240" w:lineRule="auto"/>
            </w:pPr>
            <w:r>
              <w:t>评估专家听取总体汇报、与师生和管理人员座谈、查阅有关资料等方式，了解学位授权点基本情况。专家组经过充分讨论，提出诊断式意见，指出问题与不足，并提出改进建议。</w:t>
            </w:r>
          </w:p>
        </w:tc>
        <w:tc>
          <w:tcPr>
            <w:tcW w:w="751" w:type="pct"/>
            <w:noWrap w:val="0"/>
            <w:vAlign w:val="center"/>
          </w:tcPr>
          <w:p>
            <w:pPr>
              <w:pStyle w:val="30"/>
              <w:widowControl w:val="0"/>
              <w:spacing w:line="240" w:lineRule="auto"/>
            </w:pPr>
            <w:r>
              <w:t>评估专家、各导师组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pct"/>
            <w:noWrap w:val="0"/>
            <w:vAlign w:val="center"/>
          </w:tcPr>
          <w:p>
            <w:pPr>
              <w:pStyle w:val="30"/>
              <w:widowControl w:val="0"/>
              <w:spacing w:line="240" w:lineRule="auto"/>
            </w:pPr>
            <w:r>
              <w:t>2024年1月-2024年7月</w:t>
            </w:r>
          </w:p>
        </w:tc>
        <w:tc>
          <w:tcPr>
            <w:tcW w:w="976" w:type="pct"/>
            <w:noWrap w:val="0"/>
            <w:vAlign w:val="center"/>
          </w:tcPr>
          <w:p>
            <w:pPr>
              <w:pStyle w:val="30"/>
              <w:widowControl w:val="0"/>
              <w:spacing w:line="240" w:lineRule="auto"/>
            </w:pPr>
            <w:r>
              <w:t>进行总结性评估，得出评估结果并进行改进和提升</w:t>
            </w:r>
          </w:p>
        </w:tc>
        <w:tc>
          <w:tcPr>
            <w:tcW w:w="2165" w:type="pct"/>
            <w:noWrap w:val="0"/>
            <w:vAlign w:val="center"/>
          </w:tcPr>
          <w:p>
            <w:pPr>
              <w:pStyle w:val="30"/>
              <w:widowControl w:val="0"/>
              <w:spacing w:line="240" w:lineRule="auto"/>
            </w:pPr>
            <w:r>
              <w:t>召开院学位授权点评估工作领导小组会议，根据专家评议意见，确定各授权点评估结果，完成学位授权点改进提升方案</w:t>
            </w:r>
          </w:p>
        </w:tc>
        <w:tc>
          <w:tcPr>
            <w:tcW w:w="751" w:type="pct"/>
            <w:noWrap w:val="0"/>
            <w:vAlign w:val="center"/>
          </w:tcPr>
          <w:p>
            <w:pPr>
              <w:pStyle w:val="30"/>
              <w:widowControl w:val="0"/>
              <w:spacing w:line="240" w:lineRule="auto"/>
            </w:pPr>
            <w:r>
              <w:t>评估工作领导小组、各导师组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pct"/>
            <w:noWrap w:val="0"/>
            <w:vAlign w:val="center"/>
          </w:tcPr>
          <w:p>
            <w:pPr>
              <w:pStyle w:val="30"/>
              <w:widowControl w:val="0"/>
              <w:spacing w:line="240" w:lineRule="auto"/>
            </w:pPr>
            <w:r>
              <w:t>2024年7月-2025年3月底前</w:t>
            </w:r>
          </w:p>
        </w:tc>
        <w:tc>
          <w:tcPr>
            <w:tcW w:w="976" w:type="pct"/>
            <w:noWrap w:val="0"/>
            <w:vAlign w:val="center"/>
          </w:tcPr>
          <w:p>
            <w:pPr>
              <w:pStyle w:val="30"/>
              <w:widowControl w:val="0"/>
              <w:spacing w:line="240" w:lineRule="auto"/>
            </w:pPr>
            <w:r>
              <w:t>编写总结报告并上报</w:t>
            </w:r>
          </w:p>
        </w:tc>
        <w:tc>
          <w:tcPr>
            <w:tcW w:w="2165" w:type="pct"/>
            <w:noWrap w:val="0"/>
            <w:vAlign w:val="center"/>
          </w:tcPr>
          <w:p>
            <w:pPr>
              <w:pStyle w:val="30"/>
              <w:widowControl w:val="0"/>
              <w:spacing w:line="240" w:lineRule="auto"/>
            </w:pPr>
            <w:r>
              <w:t>编写《学位授权点自我评估总结报告》、填写《学位授权点自我评估汇总表》等，上报“全国学位与研究生教育质量信息平台”向社会公开</w:t>
            </w:r>
          </w:p>
        </w:tc>
        <w:tc>
          <w:tcPr>
            <w:tcW w:w="751" w:type="pct"/>
            <w:noWrap w:val="0"/>
            <w:vAlign w:val="center"/>
          </w:tcPr>
          <w:p>
            <w:pPr>
              <w:pStyle w:val="30"/>
              <w:widowControl w:val="0"/>
              <w:spacing w:line="240" w:lineRule="auto"/>
            </w:pPr>
            <w:r>
              <w:t>评估工作领导小组、研究生部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pct"/>
            <w:noWrap w:val="0"/>
            <w:vAlign w:val="center"/>
          </w:tcPr>
          <w:p>
            <w:pPr>
              <w:pStyle w:val="30"/>
              <w:widowControl w:val="0"/>
              <w:spacing w:line="240" w:lineRule="auto"/>
            </w:pPr>
            <w:r>
              <w:t>2025年3月后</w:t>
            </w:r>
          </w:p>
        </w:tc>
        <w:tc>
          <w:tcPr>
            <w:tcW w:w="976" w:type="pct"/>
            <w:noWrap w:val="0"/>
            <w:vAlign w:val="center"/>
          </w:tcPr>
          <w:p>
            <w:pPr>
              <w:pStyle w:val="30"/>
              <w:widowControl w:val="0"/>
              <w:spacing w:line="240" w:lineRule="auto"/>
            </w:pPr>
            <w:r>
              <w:t>接受省学位委员会抽评</w:t>
            </w:r>
          </w:p>
        </w:tc>
        <w:tc>
          <w:tcPr>
            <w:tcW w:w="2165" w:type="pct"/>
            <w:noWrap w:val="0"/>
            <w:vAlign w:val="center"/>
          </w:tcPr>
          <w:p>
            <w:pPr>
              <w:pStyle w:val="30"/>
              <w:widowControl w:val="0"/>
              <w:spacing w:line="240" w:lineRule="auto"/>
            </w:pPr>
            <w:r>
              <w:t>评价材料为各学位授予单位的《研究生教育发展质量年度报告》、《学位授权点建设年度报告》、《学位授权点自我评估总结报告》、《基本状况信息表》、连续5年的研究生培养方案、自评专家意见和改进方案</w:t>
            </w:r>
          </w:p>
        </w:tc>
        <w:tc>
          <w:tcPr>
            <w:tcW w:w="751" w:type="pct"/>
            <w:noWrap w:val="0"/>
            <w:vAlign w:val="center"/>
          </w:tcPr>
          <w:p>
            <w:pPr>
              <w:pStyle w:val="30"/>
              <w:widowControl w:val="0"/>
              <w:spacing w:line="240" w:lineRule="auto"/>
            </w:pPr>
            <w:r>
              <w:t>省学位委员会</w:t>
            </w:r>
          </w:p>
        </w:tc>
      </w:tr>
    </w:tbl>
    <w:p>
      <w:pPr>
        <w:spacing w:before="157" w:beforeLines="50" w:line="360" w:lineRule="auto"/>
        <w:ind w:firstLine="480" w:firstLineChars="200"/>
        <w:jc w:val="left"/>
        <w:rPr>
          <w:rFonts w:hint="eastAsia"/>
        </w:rPr>
      </w:pPr>
      <w:r>
        <w:rPr>
          <w:rFonts w:hint="eastAsia"/>
        </w:rPr>
        <w:t>此外，本年度较为重要的一项工作还包括邀请评审专家评估我院研究生教育发展情况。</w:t>
      </w:r>
      <w:r>
        <w:rPr>
          <w:rFonts w:hint="eastAsia"/>
          <w:lang w:val="en-US" w:eastAsia="zh-CN"/>
        </w:rPr>
        <w:t>按照《工作方案》要求，我院分别于2023年5月和12月组织召开社会学、应用经济学及中国史一级学科硕士学位授权点专家评估会议，专家组成员针对学位点建设、研究生培养、课程设置及年度建设报告撰写等方面提出诊断式意见，指出问题与不足，并提出改进建议。经过评议，专家组一致同意三个学位点评估结论为合格及以上。</w:t>
      </w:r>
    </w:p>
    <w:p>
      <w:pPr>
        <w:pStyle w:val="5"/>
        <w:keepNext w:val="0"/>
        <w:keepLines w:val="0"/>
        <w:widowControl w:val="0"/>
        <w:ind w:firstLine="560" w:firstLineChars="200"/>
        <w:rPr>
          <w:rFonts w:hint="eastAsia"/>
          <w:highlight w:val="none"/>
        </w:rPr>
      </w:pPr>
      <w:bookmarkStart w:id="233" w:name="_Toc17030"/>
      <w:r>
        <w:rPr>
          <w:rFonts w:hint="eastAsia"/>
          <w:highlight w:val="none"/>
        </w:rPr>
        <w:t>2.自我评估问题</w:t>
      </w:r>
      <w:bookmarkEnd w:id="233"/>
    </w:p>
    <w:p>
      <w:pPr>
        <w:ind w:firstLine="480"/>
        <w:rPr>
          <w:rFonts w:hint="eastAsia"/>
        </w:rPr>
      </w:pPr>
      <w:r>
        <w:rPr>
          <w:rFonts w:hint="eastAsia"/>
        </w:rPr>
        <w:t>一是生源结构需进一步优化。在研究生招生选拔方面，我院第一志愿报考人数不多，招生来源主要通过调剂。</w:t>
      </w:r>
      <w:r>
        <w:rPr>
          <w:rFonts w:hint="eastAsia"/>
          <w:lang w:val="en-US" w:eastAsia="zh-CN"/>
        </w:rPr>
        <w:t>同时，生源中来自“985”和“211”高校的毕业生数量有所减少。</w:t>
      </w:r>
    </w:p>
    <w:p>
      <w:pPr>
        <w:spacing w:after="0" w:afterLines="0"/>
        <w:ind w:firstLine="480"/>
        <w:rPr>
          <w:rFonts w:hint="eastAsia"/>
          <w:lang w:val="en-US" w:eastAsia="zh-CN"/>
        </w:rPr>
      </w:pPr>
      <w:r>
        <w:rPr>
          <w:rFonts w:hint="eastAsia"/>
          <w:lang w:eastAsia="zh-CN"/>
        </w:rPr>
        <w:t>二</w:t>
      </w:r>
      <w:r>
        <w:rPr>
          <w:rFonts w:hint="eastAsia"/>
        </w:rPr>
        <w:t>是</w:t>
      </w:r>
      <w:r>
        <w:rPr>
          <w:rFonts w:hint="eastAsia"/>
          <w:lang w:val="en-US" w:eastAsia="zh-CN"/>
        </w:rPr>
        <w:t>对外</w:t>
      </w:r>
      <w:r>
        <w:rPr>
          <w:rFonts w:hint="eastAsia"/>
        </w:rPr>
        <w:t>学术交流有待加强。</w:t>
      </w:r>
      <w:r>
        <w:rPr>
          <w:rFonts w:hint="eastAsia"/>
          <w:lang w:val="en-US" w:eastAsia="zh-CN"/>
        </w:rPr>
        <w:t>一方面，2023年，</w:t>
      </w:r>
      <w:r>
        <w:rPr>
          <w:rFonts w:hint="eastAsia"/>
          <w:highlight w:val="none"/>
          <w:lang w:val="en-US" w:eastAsia="zh-CN"/>
        </w:rPr>
        <w:t>我院暂未公派研究生出（境）国交流培养，学生缺乏交换留学经验</w:t>
      </w:r>
      <w:r>
        <w:rPr>
          <w:rFonts w:hint="eastAsia"/>
          <w:highlight w:val="none"/>
          <w:lang w:eastAsia="zh-CN"/>
        </w:rPr>
        <w:t>；</w:t>
      </w:r>
      <w:r>
        <w:rPr>
          <w:rFonts w:hint="eastAsia"/>
          <w:highlight w:val="none"/>
          <w:lang w:val="en-US" w:eastAsia="zh-CN"/>
        </w:rPr>
        <w:t>另一方面，</w:t>
      </w:r>
      <w:r>
        <w:rPr>
          <w:rFonts w:hint="eastAsia"/>
          <w:lang w:val="en-US" w:eastAsia="zh-CN"/>
        </w:rPr>
        <w:t>我院研究生参加本领域国内外重要学术会议和大型</w:t>
      </w:r>
      <w:r>
        <w:rPr>
          <w:rFonts w:hint="eastAsia"/>
          <w:lang w:val="en-US" w:eastAsia="zh-Hans"/>
        </w:rPr>
        <w:t>科研</w:t>
      </w:r>
      <w:r>
        <w:rPr>
          <w:rFonts w:hint="eastAsia"/>
          <w:lang w:val="en-US" w:eastAsia="zh-CN"/>
        </w:rPr>
        <w:t>竞赛</w:t>
      </w:r>
      <w:r>
        <w:rPr>
          <w:rFonts w:hint="eastAsia"/>
          <w:lang w:val="en-US" w:eastAsia="zh-Hans"/>
        </w:rPr>
        <w:t>的频次有待提升</w:t>
      </w:r>
      <w:r>
        <w:rPr>
          <w:rFonts w:hint="eastAsia"/>
          <w:lang w:val="en-US" w:eastAsia="zh-CN"/>
        </w:rPr>
        <w:t>。</w:t>
      </w:r>
    </w:p>
    <w:p>
      <w:pPr>
        <w:pStyle w:val="20"/>
        <w:spacing w:afterLines="0" w:line="360" w:lineRule="auto"/>
        <w:ind w:firstLine="480" w:firstLineChars="200"/>
        <w:rPr>
          <w:rFonts w:hint="default"/>
          <w:lang w:val="en-US" w:eastAsia="zh-CN"/>
        </w:rPr>
      </w:pPr>
      <w:r>
        <w:rPr>
          <w:rFonts w:hint="eastAsia"/>
          <w:lang w:val="en-US" w:eastAsia="zh-CN"/>
        </w:rPr>
        <w:t>三</w:t>
      </w:r>
      <w:r>
        <w:rPr>
          <w:rFonts w:hint="default"/>
          <w:lang w:val="en-US" w:eastAsia="zh-CN"/>
        </w:rPr>
        <w:t>是师资结构有待优化。</w:t>
      </w:r>
      <w:r>
        <w:rPr>
          <w:rFonts w:hint="eastAsia" w:ascii="Times New Roman" w:hAnsi="Times New Roman" w:cs="Times New Roman"/>
          <w:color w:val="auto"/>
          <w:kern w:val="2"/>
          <w:szCs w:val="22"/>
          <w:lang w:val="en-US" w:eastAsia="zh-CN"/>
        </w:rPr>
        <w:t>2023</w:t>
      </w:r>
      <w:r>
        <w:rPr>
          <w:rFonts w:hint="default"/>
          <w:lang w:val="en-US" w:eastAsia="zh-CN"/>
        </w:rPr>
        <w:t>年，</w:t>
      </w:r>
      <w:r>
        <w:rPr>
          <w:rFonts w:hint="eastAsia"/>
          <w:lang w:val="en-US" w:eastAsia="zh-CN"/>
        </w:rPr>
        <w:t>我院多位</w:t>
      </w:r>
      <w:r>
        <w:rPr>
          <w:rFonts w:hint="default"/>
          <w:lang w:val="en-US" w:eastAsia="zh-CN"/>
        </w:rPr>
        <w:t>研究生导师</w:t>
      </w:r>
      <w:r>
        <w:rPr>
          <w:rFonts w:hint="eastAsia"/>
          <w:lang w:val="en-US" w:eastAsia="zh-CN"/>
        </w:rPr>
        <w:t>达</w:t>
      </w:r>
      <w:r>
        <w:rPr>
          <w:rFonts w:hint="default"/>
          <w:lang w:val="en-US" w:eastAsia="zh-CN"/>
        </w:rPr>
        <w:t>到退休年龄，</w:t>
      </w:r>
      <w:r>
        <w:rPr>
          <w:rFonts w:hint="eastAsia"/>
          <w:lang w:val="en-US" w:eastAsia="zh-CN"/>
        </w:rPr>
        <w:t>亟需进一步</w:t>
      </w:r>
      <w:r>
        <w:rPr>
          <w:rFonts w:hint="default"/>
          <w:lang w:val="en-US" w:eastAsia="zh-CN"/>
        </w:rPr>
        <w:t>优化人才结构</w:t>
      </w:r>
      <w:r>
        <w:rPr>
          <w:rFonts w:hint="eastAsia"/>
          <w:lang w:val="en-US" w:eastAsia="zh-CN"/>
        </w:rPr>
        <w:t>；知名学者和学术领军人才相对缺乏，</w:t>
      </w:r>
      <w:r>
        <w:rPr>
          <w:rFonts w:hint="default"/>
          <w:lang w:val="en-US" w:eastAsia="zh-CN"/>
        </w:rPr>
        <w:t>师资</w:t>
      </w:r>
      <w:r>
        <w:rPr>
          <w:rFonts w:hint="eastAsia"/>
          <w:lang w:val="en-US" w:eastAsia="zh-CN"/>
        </w:rPr>
        <w:t>队伍建设</w:t>
      </w:r>
      <w:r>
        <w:rPr>
          <w:rFonts w:hint="default"/>
          <w:lang w:val="en-US" w:eastAsia="zh-CN"/>
        </w:rPr>
        <w:t>有待</w:t>
      </w:r>
      <w:r>
        <w:rPr>
          <w:rFonts w:hint="eastAsia"/>
          <w:lang w:val="en-US" w:eastAsia="zh-CN"/>
        </w:rPr>
        <w:t>完善</w:t>
      </w:r>
      <w:r>
        <w:rPr>
          <w:rFonts w:hint="default"/>
          <w:lang w:val="en-US" w:eastAsia="zh-CN"/>
        </w:rPr>
        <w:t>。</w:t>
      </w:r>
    </w:p>
    <w:p>
      <w:pPr>
        <w:pStyle w:val="4"/>
        <w:keepNext w:val="0"/>
        <w:keepLines w:val="0"/>
        <w:widowControl w:val="0"/>
        <w:ind w:firstLine="602" w:firstLineChars="200"/>
        <w:rPr>
          <w:rFonts w:hint="eastAsia"/>
        </w:rPr>
      </w:pPr>
      <w:bookmarkStart w:id="234" w:name="_Toc67260878"/>
      <w:bookmarkStart w:id="235" w:name="_Toc28456"/>
      <w:bookmarkStart w:id="236" w:name="_Toc3539"/>
      <w:bookmarkStart w:id="237" w:name="_Toc67497736"/>
      <w:bookmarkStart w:id="238" w:name="_Toc67497699"/>
      <w:bookmarkStart w:id="239" w:name="_Toc127791888"/>
      <w:bookmarkStart w:id="240" w:name="_Toc13173"/>
      <w:bookmarkStart w:id="241" w:name="_Toc9975"/>
      <w:bookmarkStart w:id="242" w:name="_Toc12844"/>
      <w:r>
        <w:rPr>
          <w:rFonts w:hint="eastAsia"/>
        </w:rPr>
        <w:t>（二）学位论文抽检情况</w:t>
      </w:r>
      <w:bookmarkEnd w:id="234"/>
      <w:bookmarkEnd w:id="235"/>
      <w:bookmarkEnd w:id="236"/>
      <w:bookmarkEnd w:id="237"/>
      <w:bookmarkEnd w:id="238"/>
      <w:bookmarkEnd w:id="239"/>
      <w:bookmarkEnd w:id="240"/>
      <w:bookmarkEnd w:id="241"/>
      <w:bookmarkEnd w:id="242"/>
    </w:p>
    <w:p>
      <w:pPr>
        <w:ind w:firstLine="480"/>
        <w:rPr>
          <w:rFonts w:hint="eastAsia"/>
        </w:rPr>
      </w:pPr>
      <w:r>
        <w:rPr>
          <w:rFonts w:hint="eastAsia"/>
        </w:rPr>
        <w:t>学位论文是对研究生进行科学研究的全面训练、培养综合运用所学知识分析问题和解决问题能力的重要环节，也是衡量研究生培养质量的重要依据之一。为保证硕士学位论文质量，我院狠抓学位论文选题、开题报告、导师组审改、学位论文撰写、论文</w:t>
      </w:r>
      <w:r>
        <w:rPr>
          <w:rFonts w:hint="eastAsia"/>
          <w:lang w:val="en-US" w:eastAsia="zh-CN"/>
        </w:rPr>
        <w:t>预答辩及</w:t>
      </w:r>
      <w:r>
        <w:rPr>
          <w:rFonts w:hint="eastAsia"/>
        </w:rPr>
        <w:t>答辩等关键环节，注重论文期中检查</w:t>
      </w:r>
      <w:r>
        <w:rPr>
          <w:rFonts w:hint="eastAsia"/>
          <w:lang w:eastAsia="zh-CN"/>
        </w:rPr>
        <w:t>、论文检测</w:t>
      </w:r>
      <w:r>
        <w:rPr>
          <w:rFonts w:hint="eastAsia"/>
        </w:rPr>
        <w:t>和</w:t>
      </w:r>
      <w:r>
        <w:rPr>
          <w:rFonts w:hint="eastAsia"/>
          <w:lang w:val="en-US" w:eastAsia="zh-CN"/>
        </w:rPr>
        <w:t>写作全</w:t>
      </w:r>
      <w:r>
        <w:rPr>
          <w:rFonts w:hint="eastAsia"/>
        </w:rPr>
        <w:t>过程质量控制，及时了解研究生论文写作进度，践行学术规范和学术诚信教育，确保论文质量。</w:t>
      </w:r>
    </w:p>
    <w:p>
      <w:pPr>
        <w:ind w:firstLine="480"/>
        <w:rPr>
          <w:rFonts w:hint="eastAsia"/>
        </w:rPr>
      </w:pPr>
      <w:r>
        <w:rPr>
          <w:rFonts w:hint="eastAsia"/>
          <w:b w:val="0"/>
          <w:bCs w:val="0"/>
          <w:highlight w:val="none"/>
        </w:rPr>
        <w:t>202</w:t>
      </w:r>
      <w:r>
        <w:rPr>
          <w:rFonts w:hint="eastAsia"/>
          <w:b w:val="0"/>
          <w:bCs w:val="0"/>
          <w:highlight w:val="none"/>
          <w:lang w:eastAsia="zh-CN"/>
        </w:rPr>
        <w:t>3</w:t>
      </w:r>
      <w:r>
        <w:rPr>
          <w:rFonts w:hint="eastAsia"/>
          <w:b w:val="0"/>
          <w:bCs w:val="0"/>
          <w:highlight w:val="none"/>
        </w:rPr>
        <w:t>年，我院共</w:t>
      </w:r>
      <w:r>
        <w:rPr>
          <w:rFonts w:hint="eastAsia"/>
          <w:b w:val="0"/>
          <w:bCs w:val="0"/>
          <w:highlight w:val="none"/>
          <w:lang w:eastAsia="zh-CN"/>
        </w:rPr>
        <w:t>毕业</w:t>
      </w:r>
      <w:r>
        <w:rPr>
          <w:rFonts w:hint="eastAsia"/>
          <w:b w:val="0"/>
          <w:bCs w:val="0"/>
          <w:highlight w:val="none"/>
          <w:lang w:val="en-US" w:eastAsia="zh-CN"/>
        </w:rPr>
        <w:t>28位硕士研究生，</w:t>
      </w:r>
      <w:r>
        <w:rPr>
          <w:rFonts w:hint="eastAsia"/>
          <w:b w:val="0"/>
          <w:bCs w:val="0"/>
          <w:highlight w:val="none"/>
        </w:rPr>
        <w:t>28篇硕士学位论文中</w:t>
      </w:r>
      <w:r>
        <w:rPr>
          <w:rFonts w:hint="eastAsia"/>
          <w:b w:val="0"/>
          <w:bCs w:val="0"/>
          <w:highlight w:val="none"/>
          <w:lang w:eastAsia="zh-CN"/>
        </w:rPr>
        <w:t>有3</w:t>
      </w:r>
      <w:r>
        <w:rPr>
          <w:rFonts w:hint="eastAsia"/>
          <w:b w:val="0"/>
          <w:bCs w:val="0"/>
          <w:highlight w:val="none"/>
        </w:rPr>
        <w:t>篇被评为院级优秀硕士学位论文（</w:t>
      </w:r>
      <w:r>
        <w:rPr>
          <w:rFonts w:hint="eastAsia"/>
          <w:b w:val="0"/>
          <w:bCs w:val="0"/>
          <w:highlight w:val="none"/>
          <w:lang w:val="en-US" w:eastAsia="zh-CN"/>
        </w:rPr>
        <w:t>见</w:t>
      </w:r>
      <w:r>
        <w:rPr>
          <w:rFonts w:hint="eastAsia"/>
          <w:b w:val="0"/>
          <w:bCs w:val="0"/>
          <w:highlight w:val="none"/>
        </w:rPr>
        <w:t>表1</w:t>
      </w:r>
      <w:r>
        <w:rPr>
          <w:rFonts w:hint="eastAsia"/>
          <w:b w:val="0"/>
          <w:bCs w:val="0"/>
          <w:highlight w:val="none"/>
          <w:lang w:val="en-US" w:eastAsia="zh-CN"/>
        </w:rPr>
        <w:t>8</w:t>
      </w:r>
      <w:r>
        <w:rPr>
          <w:rFonts w:hint="eastAsia"/>
          <w:b w:val="0"/>
          <w:bCs w:val="0"/>
          <w:highlight w:val="none"/>
        </w:rPr>
        <w:t>）。</w:t>
      </w:r>
      <w:r>
        <w:rPr>
          <w:rFonts w:hint="eastAsia"/>
        </w:rPr>
        <w:t>从评审结果和答辩情况来看，我院硕士学位论文没有被查出抄袭和剽窃等</w:t>
      </w:r>
      <w:r>
        <w:rPr>
          <w:rFonts w:hint="eastAsia"/>
          <w:lang w:eastAsia="zh-CN"/>
        </w:rPr>
        <w:t>学术</w:t>
      </w:r>
      <w:r>
        <w:rPr>
          <w:rFonts w:hint="eastAsia"/>
        </w:rPr>
        <w:t>不端行为，没有不合格论文，质量普遍较好。这一结论与省学位办抽检结论一致。</w:t>
      </w:r>
      <w:r>
        <w:rPr>
          <w:rFonts w:hint="eastAsia"/>
          <w:highlight w:val="none"/>
        </w:rPr>
        <w:t>202</w:t>
      </w:r>
      <w:r>
        <w:rPr>
          <w:rFonts w:hint="eastAsia"/>
          <w:highlight w:val="none"/>
          <w:lang w:eastAsia="zh-CN"/>
        </w:rPr>
        <w:t>3</w:t>
      </w:r>
      <w:r>
        <w:rPr>
          <w:rFonts w:hint="eastAsia"/>
          <w:highlight w:val="none"/>
        </w:rPr>
        <w:t>年，我院向省学位办上报</w:t>
      </w:r>
      <w:r>
        <w:rPr>
          <w:rFonts w:hint="eastAsia"/>
          <w:highlight w:val="none"/>
          <w:lang w:eastAsia="zh-CN"/>
        </w:rPr>
        <w:t>全部</w:t>
      </w:r>
      <w:r>
        <w:rPr>
          <w:rFonts w:hint="eastAsia"/>
          <w:highlight w:val="none"/>
          <w:lang w:val="en-US" w:eastAsia="zh-CN"/>
        </w:rPr>
        <w:t>28篇</w:t>
      </w:r>
      <w:r>
        <w:rPr>
          <w:rFonts w:hint="eastAsia"/>
          <w:highlight w:val="none"/>
        </w:rPr>
        <w:t>硕士学位论文参与论文抽检。省学位办共抽检了我院4篇硕士学位论文，均被评为良好</w:t>
      </w:r>
      <w:r>
        <w:rPr>
          <w:rFonts w:hint="eastAsia"/>
          <w:highlight w:val="none"/>
          <w:lang w:eastAsia="zh-CN"/>
        </w:rPr>
        <w:t>。</w:t>
      </w:r>
      <w:r>
        <w:rPr>
          <w:rFonts w:hint="eastAsia"/>
          <w:highlight w:val="none"/>
        </w:rPr>
        <w:t>我院</w:t>
      </w:r>
      <w:r>
        <w:rPr>
          <w:rFonts w:hint="eastAsia"/>
          <w:highlight w:val="none"/>
          <w:lang w:val="en-US" w:eastAsia="zh-CN"/>
        </w:rPr>
        <w:t>已</w:t>
      </w:r>
      <w:r>
        <w:rPr>
          <w:rFonts w:hint="eastAsia"/>
          <w:highlight w:val="none"/>
        </w:rPr>
        <w:t>连续3年硕士学位论文</w:t>
      </w:r>
      <w:r>
        <w:rPr>
          <w:rFonts w:hint="eastAsia"/>
          <w:highlight w:val="none"/>
          <w:lang w:val="en-US" w:eastAsia="zh-CN"/>
        </w:rPr>
        <w:t>抽检</w:t>
      </w:r>
      <w:r>
        <w:rPr>
          <w:rFonts w:hint="eastAsia"/>
          <w:highlight w:val="none"/>
        </w:rPr>
        <w:t>良好率100%</w:t>
      </w:r>
      <w:r>
        <w:rPr>
          <w:rFonts w:hint="eastAsia"/>
          <w:highlight w:val="none"/>
          <w:lang w:eastAsia="zh-CN"/>
        </w:rPr>
        <w:t>，</w:t>
      </w:r>
      <w:r>
        <w:rPr>
          <w:rFonts w:hint="eastAsia"/>
          <w:highlight w:val="none"/>
          <w:lang w:val="en-US" w:eastAsia="zh-CN"/>
        </w:rPr>
        <w:t>是</w:t>
      </w:r>
      <w:r>
        <w:rPr>
          <w:rFonts w:hint="eastAsia"/>
          <w:highlight w:val="none"/>
        </w:rPr>
        <w:t>广东省具有硕士学位授</w:t>
      </w:r>
      <w:r>
        <w:rPr>
          <w:rFonts w:hint="eastAsia"/>
          <w:highlight w:val="none"/>
          <w:lang w:eastAsia="zh-CN"/>
        </w:rPr>
        <w:t>权</w:t>
      </w:r>
      <w:r>
        <w:rPr>
          <w:rFonts w:hint="eastAsia"/>
          <w:highlight w:val="none"/>
        </w:rPr>
        <w:t>点的高校</w:t>
      </w:r>
      <w:r>
        <w:rPr>
          <w:rFonts w:hint="eastAsia"/>
          <w:highlight w:val="none"/>
          <w:lang w:eastAsia="zh-CN"/>
        </w:rPr>
        <w:t>及</w:t>
      </w:r>
      <w:r>
        <w:rPr>
          <w:rFonts w:hint="eastAsia"/>
          <w:highlight w:val="none"/>
          <w:lang w:val="en-US" w:eastAsia="zh-CN"/>
        </w:rPr>
        <w:t>科研院所</w:t>
      </w:r>
      <w:r>
        <w:rPr>
          <w:rFonts w:hint="eastAsia"/>
          <w:highlight w:val="none"/>
        </w:rPr>
        <w:t>中</w:t>
      </w:r>
      <w:r>
        <w:rPr>
          <w:rFonts w:hint="eastAsia"/>
          <w:highlight w:val="none"/>
          <w:lang w:eastAsia="zh-CN"/>
        </w:rPr>
        <w:t>，</w:t>
      </w:r>
      <w:r>
        <w:rPr>
          <w:rFonts w:hint="eastAsia"/>
          <w:highlight w:val="none"/>
          <w:lang w:val="en-US" w:eastAsia="zh-CN"/>
        </w:rPr>
        <w:t>仅有的</w:t>
      </w:r>
      <w:r>
        <w:rPr>
          <w:rFonts w:hint="eastAsia"/>
          <w:highlight w:val="none"/>
        </w:rPr>
        <w:t>3所硕士学位论文抽检良好率100%的</w:t>
      </w:r>
      <w:r>
        <w:rPr>
          <w:rFonts w:hint="eastAsia"/>
          <w:highlight w:val="none"/>
          <w:lang w:val="en-US" w:eastAsia="zh-CN"/>
        </w:rPr>
        <w:t>培养单位</w:t>
      </w:r>
      <w:r>
        <w:rPr>
          <w:rFonts w:hint="eastAsia"/>
          <w:highlight w:val="none"/>
        </w:rPr>
        <w:t>之一。</w:t>
      </w:r>
    </w:p>
    <w:p>
      <w:pPr>
        <w:pStyle w:val="6"/>
        <w:keepNext w:val="0"/>
        <w:keepLines w:val="0"/>
        <w:spacing w:before="95" w:beforeLines="30" w:after="157" w:afterLines="50" w:line="240" w:lineRule="auto"/>
        <w:rPr>
          <w:rFonts w:hint="default" w:ascii="Times New Roman" w:hAnsi="Times New Roman"/>
          <w:b/>
          <w:bCs w:val="0"/>
        </w:rPr>
      </w:pPr>
      <w:bookmarkStart w:id="243" w:name="_Toc18700"/>
      <w:r>
        <w:rPr>
          <w:rFonts w:hint="default" w:ascii="Times New Roman" w:hAnsi="Times New Roman"/>
          <w:b/>
          <w:bCs w:val="0"/>
        </w:rPr>
        <w:t xml:space="preserve">表 </w:t>
      </w:r>
      <w:r>
        <w:rPr>
          <w:rFonts w:hint="default" w:ascii="Times New Roman" w:hAnsi="Times New Roman"/>
          <w:b/>
          <w:bCs w:val="0"/>
        </w:rPr>
        <w:fldChar w:fldCharType="begin"/>
      </w:r>
      <w:r>
        <w:rPr>
          <w:rFonts w:hint="default" w:ascii="Times New Roman" w:hAnsi="Times New Roman"/>
          <w:b/>
          <w:bCs w:val="0"/>
        </w:rPr>
        <w:instrText xml:space="preserve"> SEQ 表 \* ARABIC </w:instrText>
      </w:r>
      <w:r>
        <w:rPr>
          <w:rFonts w:hint="default" w:ascii="Times New Roman" w:hAnsi="Times New Roman"/>
          <w:b/>
          <w:bCs w:val="0"/>
        </w:rPr>
        <w:fldChar w:fldCharType="separate"/>
      </w:r>
      <w:r>
        <w:rPr>
          <w:rFonts w:ascii="Times New Roman" w:hAnsi="Times New Roman"/>
          <w:b/>
          <w:bCs w:val="0"/>
        </w:rPr>
        <w:t>1</w:t>
      </w:r>
      <w:r>
        <w:rPr>
          <w:rFonts w:hint="default" w:ascii="Times New Roman" w:hAnsi="Times New Roman"/>
          <w:b/>
          <w:bCs w:val="0"/>
        </w:rPr>
        <w:fldChar w:fldCharType="end"/>
      </w:r>
      <w:r>
        <w:rPr>
          <w:rFonts w:hint="eastAsia" w:ascii="Times New Roman" w:hAnsi="Times New Roman"/>
          <w:b/>
          <w:bCs w:val="0"/>
          <w:lang w:val="en-US" w:eastAsia="zh-CN"/>
        </w:rPr>
        <w:t>8</w:t>
      </w:r>
      <w:r>
        <w:rPr>
          <w:rFonts w:hint="default" w:ascii="Times New Roman" w:hAnsi="Times New Roman"/>
          <w:b/>
          <w:bCs w:val="0"/>
        </w:rPr>
        <w:t xml:space="preserve">  202</w:t>
      </w:r>
      <w:r>
        <w:rPr>
          <w:rFonts w:hint="eastAsia" w:ascii="Times New Roman" w:hAnsi="Times New Roman"/>
          <w:b/>
          <w:bCs w:val="0"/>
          <w:lang w:eastAsia="zh-CN"/>
        </w:rPr>
        <w:t>3</w:t>
      </w:r>
      <w:r>
        <w:rPr>
          <w:rFonts w:hint="default" w:ascii="Times New Roman" w:hAnsi="Times New Roman"/>
          <w:b/>
          <w:bCs w:val="0"/>
        </w:rPr>
        <w:t>年</w:t>
      </w:r>
      <w:r>
        <w:rPr>
          <w:rFonts w:hint="eastAsia" w:ascii="Times New Roman" w:hAnsi="Times New Roman"/>
          <w:b/>
          <w:bCs w:val="0"/>
          <w:lang w:eastAsia="zh-CN"/>
        </w:rPr>
        <w:t>院</w:t>
      </w:r>
      <w:r>
        <w:rPr>
          <w:rFonts w:hint="default" w:ascii="Times New Roman" w:hAnsi="Times New Roman"/>
          <w:b/>
          <w:bCs w:val="0"/>
        </w:rPr>
        <w:t>优秀</w:t>
      </w:r>
      <w:r>
        <w:rPr>
          <w:rFonts w:hint="eastAsia" w:ascii="Times New Roman" w:hAnsi="Times New Roman"/>
          <w:b/>
          <w:bCs w:val="0"/>
          <w:lang w:eastAsia="zh-CN"/>
        </w:rPr>
        <w:t>硕士</w:t>
      </w:r>
      <w:r>
        <w:rPr>
          <w:rFonts w:hint="eastAsia" w:ascii="Times New Roman" w:hAnsi="Times New Roman"/>
          <w:b/>
          <w:bCs w:val="0"/>
          <w:lang w:val="en-US" w:eastAsia="zh-CN"/>
        </w:rPr>
        <w:t>学位</w:t>
      </w:r>
      <w:r>
        <w:rPr>
          <w:rFonts w:hint="default" w:ascii="Times New Roman" w:hAnsi="Times New Roman"/>
          <w:b/>
          <w:bCs w:val="0"/>
        </w:rPr>
        <w:t>论文</w:t>
      </w:r>
      <w:bookmarkEnd w:id="243"/>
    </w:p>
    <w:tbl>
      <w:tblPr>
        <w:tblStyle w:val="1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4"/>
        <w:gridCol w:w="1074"/>
        <w:gridCol w:w="4838"/>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noWrap w:val="0"/>
            <w:vAlign w:val="center"/>
          </w:tcPr>
          <w:p>
            <w:pPr>
              <w:pStyle w:val="30"/>
              <w:widowControl w:val="0"/>
              <w:spacing w:line="240" w:lineRule="auto"/>
            </w:pPr>
            <w:r>
              <w:t>姓名</w:t>
            </w:r>
          </w:p>
        </w:tc>
        <w:tc>
          <w:tcPr>
            <w:tcW w:w="630" w:type="pct"/>
            <w:noWrap w:val="0"/>
            <w:vAlign w:val="center"/>
          </w:tcPr>
          <w:p>
            <w:pPr>
              <w:pStyle w:val="30"/>
              <w:widowControl w:val="0"/>
              <w:spacing w:line="240" w:lineRule="auto"/>
              <w:rPr>
                <w:rFonts w:hint="eastAsia" w:eastAsia="宋体"/>
                <w:lang w:eastAsia="zh-CN"/>
              </w:rPr>
            </w:pPr>
            <w:r>
              <w:rPr>
                <w:rFonts w:hint="eastAsia"/>
                <w:lang w:eastAsia="zh-CN"/>
              </w:rPr>
              <w:t>专业</w:t>
            </w:r>
          </w:p>
        </w:tc>
        <w:tc>
          <w:tcPr>
            <w:tcW w:w="2838" w:type="pct"/>
            <w:noWrap w:val="0"/>
            <w:vAlign w:val="center"/>
          </w:tcPr>
          <w:p>
            <w:pPr>
              <w:pStyle w:val="30"/>
              <w:widowControl w:val="0"/>
              <w:spacing w:line="240" w:lineRule="auto"/>
            </w:pPr>
            <w:r>
              <w:t>论文题目</w:t>
            </w:r>
          </w:p>
        </w:tc>
        <w:tc>
          <w:tcPr>
            <w:tcW w:w="934" w:type="pct"/>
            <w:noWrap w:val="0"/>
            <w:vAlign w:val="center"/>
          </w:tcPr>
          <w:p>
            <w:pPr>
              <w:pStyle w:val="30"/>
              <w:widowControl w:val="0"/>
              <w:spacing w:line="240" w:lineRule="auto"/>
            </w:pPr>
            <w:r>
              <w:t>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noWrap w:val="0"/>
            <w:vAlign w:val="center"/>
          </w:tcPr>
          <w:p>
            <w:pPr>
              <w:pStyle w:val="30"/>
              <w:widowControl w:val="0"/>
              <w:spacing w:line="240" w:lineRule="auto"/>
              <w:rPr>
                <w:color w:val="auto"/>
              </w:rPr>
            </w:pPr>
            <w:r>
              <w:rPr>
                <w:rFonts w:hint="eastAsia" w:ascii="CESI宋体-GB2312" w:hAnsi="CESI宋体-GB2312" w:eastAsia="CESI宋体-GB2312" w:cs="CESI宋体-GB2312"/>
                <w:color w:val="auto"/>
                <w:sz w:val="21"/>
                <w:szCs w:val="21"/>
              </w:rPr>
              <w:t>程希</w:t>
            </w:r>
          </w:p>
        </w:tc>
        <w:tc>
          <w:tcPr>
            <w:tcW w:w="630" w:type="pct"/>
            <w:noWrap w:val="0"/>
            <w:vAlign w:val="center"/>
          </w:tcPr>
          <w:p>
            <w:pPr>
              <w:pStyle w:val="30"/>
              <w:widowControl w:val="0"/>
              <w:spacing w:line="240" w:lineRule="auto"/>
              <w:rPr>
                <w:color w:val="auto"/>
              </w:rPr>
            </w:pPr>
            <w:r>
              <w:rPr>
                <w:rFonts w:hint="eastAsia" w:ascii="CESI宋体-GB2312" w:hAnsi="CESI宋体-GB2312" w:eastAsia="CESI宋体-GB2312" w:cs="CESI宋体-GB2312"/>
                <w:color w:val="auto"/>
                <w:sz w:val="21"/>
                <w:szCs w:val="21"/>
              </w:rPr>
              <w:t>产业经济学</w:t>
            </w:r>
          </w:p>
        </w:tc>
        <w:tc>
          <w:tcPr>
            <w:tcW w:w="2838" w:type="pct"/>
            <w:noWrap w:val="0"/>
            <w:vAlign w:val="center"/>
          </w:tcPr>
          <w:p>
            <w:pPr>
              <w:pStyle w:val="30"/>
              <w:widowControl w:val="0"/>
              <w:spacing w:line="240" w:lineRule="auto"/>
              <w:rPr>
                <w:color w:val="auto"/>
              </w:rPr>
            </w:pPr>
            <w:r>
              <w:rPr>
                <w:rFonts w:hint="eastAsia" w:ascii="CESI宋体-GB2312" w:hAnsi="CESI宋体-GB2312" w:eastAsia="CESI宋体-GB2312" w:cs="CESI宋体-GB2312"/>
                <w:color w:val="auto"/>
                <w:sz w:val="21"/>
                <w:szCs w:val="21"/>
              </w:rPr>
              <w:t>产业网络双重嵌入对后发企业追赶绩效的影响研究</w:t>
            </w:r>
          </w:p>
        </w:tc>
        <w:tc>
          <w:tcPr>
            <w:tcW w:w="934" w:type="pct"/>
            <w:noWrap w:val="0"/>
            <w:vAlign w:val="center"/>
          </w:tcPr>
          <w:p>
            <w:pPr>
              <w:pStyle w:val="30"/>
              <w:widowControl w:val="0"/>
              <w:spacing w:line="240" w:lineRule="auto"/>
              <w:rPr>
                <w:color w:val="auto"/>
              </w:rPr>
            </w:pPr>
            <w:r>
              <w:rPr>
                <w:rFonts w:hint="eastAsia" w:ascii="CESI宋体-GB2312" w:hAnsi="CESI宋体-GB2312" w:eastAsia="CESI宋体-GB2312" w:cs="CESI宋体-GB2312"/>
                <w:color w:val="auto"/>
                <w:sz w:val="21"/>
                <w:szCs w:val="21"/>
              </w:rPr>
              <w:t>李源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noWrap w:val="0"/>
            <w:vAlign w:val="center"/>
          </w:tcPr>
          <w:p>
            <w:pPr>
              <w:pStyle w:val="30"/>
              <w:widowControl w:val="0"/>
              <w:spacing w:line="240" w:lineRule="auto"/>
            </w:pPr>
            <w:r>
              <w:rPr>
                <w:rFonts w:hint="eastAsia" w:ascii="CESI宋体-GB2312" w:hAnsi="CESI宋体-GB2312" w:eastAsia="CESI宋体-GB2312" w:cs="CESI宋体-GB2312"/>
                <w:sz w:val="21"/>
                <w:szCs w:val="21"/>
              </w:rPr>
              <w:t>杨静萱</w:t>
            </w:r>
          </w:p>
        </w:tc>
        <w:tc>
          <w:tcPr>
            <w:tcW w:w="630" w:type="pct"/>
            <w:noWrap w:val="0"/>
            <w:vAlign w:val="center"/>
          </w:tcPr>
          <w:p>
            <w:pPr>
              <w:pStyle w:val="30"/>
              <w:widowControl w:val="0"/>
              <w:spacing w:line="240" w:lineRule="auto"/>
            </w:pPr>
            <w:r>
              <w:rPr>
                <w:rFonts w:hint="eastAsia" w:ascii="CESI宋体-GB2312" w:hAnsi="CESI宋体-GB2312" w:eastAsia="CESI宋体-GB2312" w:cs="CESI宋体-GB2312"/>
                <w:sz w:val="21"/>
                <w:szCs w:val="21"/>
              </w:rPr>
              <w:t>民俗学</w:t>
            </w:r>
          </w:p>
        </w:tc>
        <w:tc>
          <w:tcPr>
            <w:tcW w:w="2838" w:type="pct"/>
            <w:noWrap w:val="0"/>
            <w:vAlign w:val="center"/>
          </w:tcPr>
          <w:p>
            <w:pPr>
              <w:pStyle w:val="30"/>
              <w:widowControl w:val="0"/>
              <w:spacing w:line="240" w:lineRule="auto"/>
            </w:pPr>
            <w:r>
              <w:rPr>
                <w:rFonts w:hint="eastAsia" w:ascii="CESI宋体-GB2312" w:hAnsi="CESI宋体-GB2312" w:eastAsia="CESI宋体-GB2312" w:cs="CESI宋体-GB2312"/>
                <w:sz w:val="21"/>
                <w:szCs w:val="21"/>
                <w:lang w:val="en"/>
              </w:rPr>
              <w:t>再造“祖荫”：旧村改造中的祠堂和祠堂文化变迁</w:t>
            </w:r>
          </w:p>
        </w:tc>
        <w:tc>
          <w:tcPr>
            <w:tcW w:w="934" w:type="pct"/>
            <w:noWrap w:val="0"/>
            <w:vAlign w:val="center"/>
          </w:tcPr>
          <w:p>
            <w:pPr>
              <w:pStyle w:val="30"/>
              <w:widowControl w:val="0"/>
              <w:spacing w:line="240" w:lineRule="auto"/>
            </w:pPr>
            <w:r>
              <w:rPr>
                <w:rFonts w:hint="eastAsia" w:ascii="CESI宋体-GB2312" w:hAnsi="CESI宋体-GB2312" w:eastAsia="CESI宋体-GB2312" w:cs="CESI宋体-GB2312"/>
                <w:sz w:val="21"/>
                <w:szCs w:val="21"/>
              </w:rPr>
              <w:t>左晓斯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noWrap w:val="0"/>
            <w:vAlign w:val="center"/>
          </w:tcPr>
          <w:p>
            <w:pPr>
              <w:pStyle w:val="30"/>
              <w:widowControl w:val="0"/>
              <w:spacing w:line="240" w:lineRule="auto"/>
              <w:rPr>
                <w:rFonts w:hint="eastAsia"/>
              </w:rPr>
            </w:pPr>
            <w:r>
              <w:rPr>
                <w:rFonts w:hint="eastAsia" w:ascii="CESI宋体-GB2312" w:hAnsi="CESI宋体-GB2312" w:eastAsia="CESI宋体-GB2312" w:cs="CESI宋体-GB2312"/>
                <w:sz w:val="21"/>
                <w:szCs w:val="21"/>
              </w:rPr>
              <w:t>莫翠端</w:t>
            </w:r>
          </w:p>
        </w:tc>
        <w:tc>
          <w:tcPr>
            <w:tcW w:w="630" w:type="pct"/>
            <w:noWrap w:val="0"/>
            <w:vAlign w:val="center"/>
          </w:tcPr>
          <w:p>
            <w:pPr>
              <w:pStyle w:val="30"/>
              <w:widowControl w:val="0"/>
              <w:spacing w:line="240" w:lineRule="auto"/>
              <w:rPr>
                <w:rFonts w:hint="eastAsia"/>
              </w:rPr>
            </w:pPr>
            <w:r>
              <w:rPr>
                <w:rFonts w:hint="eastAsia" w:ascii="CESI宋体-GB2312" w:hAnsi="CESI宋体-GB2312" w:eastAsia="CESI宋体-GB2312" w:cs="CESI宋体-GB2312"/>
                <w:sz w:val="21"/>
                <w:szCs w:val="21"/>
              </w:rPr>
              <w:t>中国史</w:t>
            </w:r>
          </w:p>
        </w:tc>
        <w:tc>
          <w:tcPr>
            <w:tcW w:w="2838" w:type="pct"/>
            <w:noWrap w:val="0"/>
            <w:vAlign w:val="center"/>
          </w:tcPr>
          <w:p>
            <w:pPr>
              <w:pStyle w:val="30"/>
              <w:widowControl w:val="0"/>
              <w:spacing w:line="240" w:lineRule="auto"/>
              <w:rPr>
                <w:rFonts w:hint="eastAsia"/>
              </w:rPr>
            </w:pPr>
            <w:r>
              <w:rPr>
                <w:rFonts w:hint="eastAsia" w:ascii="CESI宋体-GB2312" w:hAnsi="CESI宋体-GB2312" w:eastAsia="CESI宋体-GB2312" w:cs="CESI宋体-GB2312"/>
                <w:sz w:val="21"/>
                <w:szCs w:val="21"/>
              </w:rPr>
              <w:t>刘纪文主政时期的广州市政（1932</w:t>
            </w:r>
            <w:r>
              <w:rPr>
                <w:rFonts w:hint="eastAsia" w:ascii="CESI宋体-GB2312" w:hAnsi="CESI宋体-GB2312" w:eastAsia="CESI宋体-GB2312" w:cs="CESI宋体-GB2312"/>
                <w:sz w:val="21"/>
                <w:szCs w:val="21"/>
                <w:lang w:eastAsia="zh-CN"/>
              </w:rPr>
              <w:t>—</w:t>
            </w:r>
            <w:r>
              <w:rPr>
                <w:rFonts w:hint="eastAsia" w:ascii="CESI宋体-GB2312" w:hAnsi="CESI宋体-GB2312" w:eastAsia="CESI宋体-GB2312" w:cs="CESI宋体-GB2312"/>
                <w:sz w:val="21"/>
                <w:szCs w:val="21"/>
              </w:rPr>
              <w:t>1936）</w:t>
            </w:r>
          </w:p>
        </w:tc>
        <w:tc>
          <w:tcPr>
            <w:tcW w:w="934" w:type="pct"/>
            <w:noWrap w:val="0"/>
            <w:vAlign w:val="center"/>
          </w:tcPr>
          <w:p>
            <w:pPr>
              <w:pStyle w:val="30"/>
              <w:widowControl w:val="0"/>
              <w:spacing w:line="240" w:lineRule="auto"/>
              <w:rPr>
                <w:rFonts w:hint="eastAsia"/>
              </w:rPr>
            </w:pPr>
            <w:r>
              <w:rPr>
                <w:rFonts w:hint="eastAsia" w:ascii="CESI宋体-GB2312" w:hAnsi="CESI宋体-GB2312" w:eastAsia="CESI宋体-GB2312" w:cs="CESI宋体-GB2312"/>
                <w:sz w:val="21"/>
                <w:szCs w:val="21"/>
              </w:rPr>
              <w:t>李振武</w:t>
            </w:r>
            <w:r>
              <w:rPr>
                <w:rFonts w:hint="eastAsia" w:ascii="CESI宋体-GB2312" w:hAnsi="CESI宋体-GB2312" w:eastAsia="CESI宋体-GB2312" w:cs="CESI宋体-GB2312"/>
                <w:sz w:val="21"/>
                <w:szCs w:val="21"/>
                <w:lang w:eastAsia="zh-CN"/>
              </w:rPr>
              <w:t>、</w:t>
            </w:r>
            <w:r>
              <w:rPr>
                <w:rFonts w:hint="eastAsia" w:ascii="CESI宋体-GB2312" w:hAnsi="CESI宋体-GB2312" w:eastAsia="CESI宋体-GB2312" w:cs="CESI宋体-GB2312"/>
                <w:sz w:val="21"/>
                <w:szCs w:val="21"/>
              </w:rPr>
              <w:t>张金超</w:t>
            </w:r>
          </w:p>
        </w:tc>
      </w:tr>
    </w:tbl>
    <w:p>
      <w:pPr>
        <w:pStyle w:val="3"/>
        <w:keepNext w:val="0"/>
        <w:keepLines w:val="0"/>
        <w:widowControl w:val="0"/>
        <w:spacing w:before="313" w:beforeLines="100"/>
        <w:ind w:firstLine="723" w:firstLineChars="200"/>
        <w:rPr>
          <w:rFonts w:hint="eastAsia"/>
          <w:highlight w:val="none"/>
        </w:rPr>
      </w:pPr>
      <w:bookmarkStart w:id="244" w:name="_Toc127791889"/>
      <w:bookmarkStart w:id="245" w:name="_Toc12735"/>
      <w:bookmarkStart w:id="246" w:name="_Toc14586"/>
      <w:bookmarkStart w:id="247" w:name="_Toc67497700"/>
      <w:bookmarkStart w:id="248" w:name="_Toc19179"/>
      <w:bookmarkStart w:id="249" w:name="_Toc7404"/>
      <w:bookmarkStart w:id="250" w:name="_Toc67497737"/>
      <w:bookmarkStart w:id="251" w:name="_Toc9114"/>
      <w:r>
        <w:rPr>
          <w:rFonts w:hint="eastAsia"/>
          <w:highlight w:val="none"/>
        </w:rPr>
        <w:t>七、改进措施</w:t>
      </w:r>
      <w:bookmarkEnd w:id="244"/>
      <w:bookmarkEnd w:id="245"/>
      <w:bookmarkEnd w:id="246"/>
      <w:bookmarkEnd w:id="247"/>
      <w:bookmarkEnd w:id="248"/>
      <w:bookmarkEnd w:id="249"/>
      <w:bookmarkEnd w:id="250"/>
      <w:bookmarkEnd w:id="251"/>
    </w:p>
    <w:p>
      <w:pPr>
        <w:pStyle w:val="4"/>
        <w:keepNext w:val="0"/>
        <w:keepLines w:val="0"/>
        <w:widowControl w:val="0"/>
        <w:ind w:firstLine="602" w:firstLineChars="200"/>
        <w:rPr>
          <w:rFonts w:hint="eastAsia"/>
          <w:highlight w:val="none"/>
        </w:rPr>
      </w:pPr>
      <w:bookmarkStart w:id="252" w:name="_Toc67497738"/>
      <w:bookmarkStart w:id="253" w:name="_Toc8859"/>
      <w:bookmarkStart w:id="254" w:name="_Toc1267"/>
      <w:bookmarkStart w:id="255" w:name="_Toc7070"/>
      <w:bookmarkStart w:id="256" w:name="_Toc127791890"/>
      <w:bookmarkStart w:id="257" w:name="_Toc25745"/>
      <w:bookmarkStart w:id="258" w:name="_Toc24058"/>
      <w:bookmarkStart w:id="259" w:name="_Toc67497701"/>
      <w:bookmarkStart w:id="260" w:name="_Toc67260880"/>
      <w:r>
        <w:rPr>
          <w:rFonts w:hint="eastAsia"/>
          <w:highlight w:val="none"/>
        </w:rPr>
        <w:t>（一）改进建议</w:t>
      </w:r>
      <w:bookmarkEnd w:id="252"/>
      <w:bookmarkEnd w:id="253"/>
      <w:bookmarkEnd w:id="254"/>
      <w:bookmarkEnd w:id="255"/>
      <w:bookmarkEnd w:id="256"/>
      <w:bookmarkEnd w:id="257"/>
      <w:bookmarkEnd w:id="258"/>
      <w:bookmarkEnd w:id="259"/>
      <w:bookmarkEnd w:id="260"/>
    </w:p>
    <w:p>
      <w:pPr>
        <w:ind w:firstLine="480"/>
        <w:rPr>
          <w:rFonts w:hint="eastAsia"/>
        </w:rPr>
      </w:pPr>
      <w:r>
        <w:rPr>
          <w:rFonts w:hint="eastAsia"/>
        </w:rPr>
        <w:t>为全面贯彻落实习近平总书记关于研究生教育工作的重要指示精神，坚持稳中求进工作总基调，全面贯彻党的教育方针，落实立德树人根本任务，为实施科教兴国战略、强化现代化建设人才支撑奠定坚实基础，</w:t>
      </w:r>
      <w:r>
        <w:rPr>
          <w:rFonts w:hint="eastAsia"/>
          <w:lang w:eastAsia="zh-CN"/>
        </w:rPr>
        <w:t>提升我院</w:t>
      </w:r>
      <w:r>
        <w:rPr>
          <w:rFonts w:hint="eastAsia"/>
        </w:rPr>
        <w:t>研究生教育</w:t>
      </w:r>
      <w:r>
        <w:rPr>
          <w:rFonts w:hint="eastAsia"/>
          <w:lang w:eastAsia="zh-CN"/>
        </w:rPr>
        <w:t>质量，我院</w:t>
      </w:r>
      <w:r>
        <w:rPr>
          <w:rFonts w:hint="eastAsia"/>
        </w:rPr>
        <w:t>将在全面总结</w:t>
      </w:r>
      <w:r>
        <w:rPr>
          <w:rFonts w:hint="eastAsia"/>
          <w:lang w:val="en-US" w:eastAsia="zh-CN"/>
        </w:rPr>
        <w:t>2023年</w:t>
      </w:r>
      <w:r>
        <w:rPr>
          <w:rFonts w:hint="eastAsia"/>
        </w:rPr>
        <w:t>研究生教育</w:t>
      </w:r>
      <w:r>
        <w:rPr>
          <w:rFonts w:hint="eastAsia"/>
          <w:lang w:eastAsia="zh-CN"/>
        </w:rPr>
        <w:t>工作经验</w:t>
      </w:r>
      <w:r>
        <w:rPr>
          <w:rFonts w:hint="eastAsia"/>
        </w:rPr>
        <w:t>的基础上</w:t>
      </w:r>
      <w:r>
        <w:rPr>
          <w:rFonts w:hint="eastAsia"/>
          <w:lang w:eastAsia="zh-CN"/>
        </w:rPr>
        <w:t>，</w:t>
      </w:r>
      <w:r>
        <w:rPr>
          <w:rFonts w:hint="eastAsia"/>
        </w:rPr>
        <w:t>对</w:t>
      </w:r>
      <w:r>
        <w:rPr>
          <w:rFonts w:hint="eastAsia"/>
          <w:lang w:val="en-US" w:eastAsia="zh-CN"/>
        </w:rPr>
        <w:t>2024年</w:t>
      </w:r>
      <w:r>
        <w:rPr>
          <w:rFonts w:hint="eastAsia"/>
        </w:rPr>
        <w:t>研究生教育</w:t>
      </w:r>
      <w:r>
        <w:rPr>
          <w:rFonts w:hint="eastAsia"/>
          <w:lang w:eastAsia="zh-CN"/>
        </w:rPr>
        <w:t>工</w:t>
      </w:r>
      <w:r>
        <w:rPr>
          <w:rFonts w:hint="eastAsia"/>
        </w:rPr>
        <w:t>作进行精心部署安排。</w:t>
      </w:r>
    </w:p>
    <w:p>
      <w:pPr>
        <w:ind w:firstLine="480"/>
        <w:rPr>
          <w:rFonts w:hint="eastAsia"/>
        </w:rPr>
      </w:pPr>
      <w:r>
        <w:rPr>
          <w:rFonts w:hint="eastAsia"/>
        </w:rPr>
        <w:t>一是加强招生宣传力度</w:t>
      </w:r>
      <w:r>
        <w:rPr>
          <w:rFonts w:hint="eastAsia"/>
          <w:lang w:eastAsia="zh-CN"/>
        </w:rPr>
        <w:t>，吸引优质生源</w:t>
      </w:r>
      <w:r>
        <w:rPr>
          <w:rFonts w:hint="eastAsia"/>
        </w:rPr>
        <w:t>。</w:t>
      </w:r>
      <w:r>
        <w:rPr>
          <w:rFonts w:hint="eastAsia"/>
          <w:lang w:val="en-US" w:eastAsia="zh-CN"/>
        </w:rPr>
        <w:t>一方面，</w:t>
      </w:r>
      <w:r>
        <w:rPr>
          <w:rFonts w:hint="eastAsia"/>
        </w:rPr>
        <w:t>拓展招生工作宣传渠道，通过中国研招网、中国教育在线平台、微信公众号等现代传媒推送研招信息</w:t>
      </w:r>
      <w:r>
        <w:rPr>
          <w:rFonts w:hint="eastAsia"/>
          <w:lang w:eastAsia="zh-CN"/>
        </w:rPr>
        <w:t>、宣传我院培养</w:t>
      </w:r>
      <w:r>
        <w:rPr>
          <w:rFonts w:hint="eastAsia"/>
          <w:lang w:val="en-US" w:eastAsia="zh-CN"/>
        </w:rPr>
        <w:t>优势与</w:t>
      </w:r>
      <w:r>
        <w:rPr>
          <w:rFonts w:hint="eastAsia"/>
          <w:lang w:eastAsia="zh-CN"/>
        </w:rPr>
        <w:t>特色，提升我院研究生教育知名度，</w:t>
      </w:r>
      <w:r>
        <w:rPr>
          <w:rFonts w:hint="eastAsia"/>
        </w:rPr>
        <w:t>做好考生的咨询和服务工作</w:t>
      </w:r>
      <w:r>
        <w:rPr>
          <w:rFonts w:hint="eastAsia"/>
          <w:lang w:eastAsia="zh-CN"/>
        </w:rPr>
        <w:t>，</w:t>
      </w:r>
      <w:r>
        <w:rPr>
          <w:rFonts w:hint="eastAsia"/>
        </w:rPr>
        <w:t>吸引更多优质</w:t>
      </w:r>
      <w:r>
        <w:rPr>
          <w:rFonts w:hint="eastAsia"/>
          <w:lang w:eastAsia="zh-CN"/>
        </w:rPr>
        <w:t>生源</w:t>
      </w:r>
      <w:r>
        <w:rPr>
          <w:rFonts w:hint="eastAsia"/>
        </w:rPr>
        <w:t>第一志愿报考我院。</w:t>
      </w:r>
      <w:r>
        <w:rPr>
          <w:rFonts w:hint="eastAsia"/>
          <w:lang w:val="en-US" w:eastAsia="zh-CN"/>
        </w:rPr>
        <w:t>另一方面，提升招生宣传的精准度，</w:t>
      </w:r>
      <w:r>
        <w:rPr>
          <w:rFonts w:hint="eastAsia"/>
        </w:rPr>
        <w:t>科学定位优质生源的地区、高校和学科专业，完善并丰富招生形式，有针对性地划定宣传对象、制定宣传计划、选用宣传途径。</w:t>
      </w:r>
    </w:p>
    <w:p>
      <w:pPr>
        <w:ind w:firstLine="480"/>
        <w:rPr>
          <w:rFonts w:hint="eastAsia"/>
        </w:rPr>
      </w:pPr>
      <w:r>
        <w:rPr>
          <w:rFonts w:hint="eastAsia"/>
          <w:lang w:val="en-US" w:eastAsia="zh-CN"/>
        </w:rPr>
        <w:t>二</w:t>
      </w:r>
      <w:r>
        <w:rPr>
          <w:rFonts w:hint="eastAsia"/>
        </w:rPr>
        <w:t>是</w:t>
      </w:r>
      <w:r>
        <w:rPr>
          <w:rFonts w:hint="eastAsia"/>
          <w:lang w:eastAsia="zh-CN"/>
        </w:rPr>
        <w:t>深化</w:t>
      </w:r>
      <w:r>
        <w:rPr>
          <w:rFonts w:hint="eastAsia"/>
          <w:lang w:val="en-US" w:eastAsia="zh-CN"/>
        </w:rPr>
        <w:t>对外</w:t>
      </w:r>
      <w:r>
        <w:rPr>
          <w:rFonts w:hint="eastAsia"/>
        </w:rPr>
        <w:t>合作交流</w:t>
      </w:r>
      <w:r>
        <w:rPr>
          <w:rFonts w:hint="eastAsia"/>
          <w:lang w:eastAsia="zh-CN"/>
        </w:rPr>
        <w:t>，</w:t>
      </w:r>
      <w:r>
        <w:rPr>
          <w:rFonts w:hint="eastAsia"/>
          <w:highlight w:val="none"/>
          <w:lang w:val="en-US" w:eastAsia="zh-CN"/>
        </w:rPr>
        <w:t>提升科教</w:t>
      </w:r>
      <w:r>
        <w:rPr>
          <w:rFonts w:hint="eastAsia"/>
          <w:highlight w:val="none"/>
        </w:rPr>
        <w:t>协同育人</w:t>
      </w:r>
      <w:r>
        <w:rPr>
          <w:rFonts w:hint="eastAsia"/>
          <w:highlight w:val="none"/>
          <w:lang w:val="en-US" w:eastAsia="zh-CN"/>
        </w:rPr>
        <w:t>水平</w:t>
      </w:r>
      <w:r>
        <w:rPr>
          <w:rFonts w:hint="eastAsia"/>
        </w:rPr>
        <w:t>。</w:t>
      </w:r>
      <w:r>
        <w:rPr>
          <w:rFonts w:hint="eastAsia"/>
          <w:lang w:val="en-US" w:eastAsia="zh-CN"/>
        </w:rPr>
        <w:t>一方面，继续</w:t>
      </w:r>
      <w:r>
        <w:rPr>
          <w:rFonts w:hint="eastAsia"/>
        </w:rPr>
        <w:t>鼓励学生</w:t>
      </w:r>
      <w:r>
        <w:rPr>
          <w:rFonts w:hint="eastAsia"/>
          <w:lang w:val="en-US" w:eastAsia="zh-CN"/>
        </w:rPr>
        <w:t>积极</w:t>
      </w:r>
      <w:r>
        <w:rPr>
          <w:rFonts w:hint="eastAsia"/>
        </w:rPr>
        <w:t>参加</w:t>
      </w:r>
      <w:r>
        <w:rPr>
          <w:rFonts w:hint="eastAsia"/>
          <w:lang w:val="en-US" w:eastAsia="zh-CN"/>
        </w:rPr>
        <w:t>国内外</w:t>
      </w:r>
      <w:r>
        <w:rPr>
          <w:rFonts w:hint="eastAsia"/>
        </w:rPr>
        <w:t>高水平学术会议、</w:t>
      </w:r>
      <w:r>
        <w:rPr>
          <w:rFonts w:hint="eastAsia"/>
          <w:lang w:val="en-US" w:eastAsia="zh-CN"/>
        </w:rPr>
        <w:t>大型学科</w:t>
      </w:r>
      <w:r>
        <w:rPr>
          <w:rFonts w:hint="eastAsia"/>
        </w:rPr>
        <w:t>竞赛和</w:t>
      </w:r>
      <w:r>
        <w:rPr>
          <w:rFonts w:hint="eastAsia"/>
          <w:lang w:val="en-US" w:eastAsia="zh-CN"/>
        </w:rPr>
        <w:t>学术</w:t>
      </w:r>
      <w:r>
        <w:rPr>
          <w:rFonts w:hint="eastAsia"/>
        </w:rPr>
        <w:t>交流活动，</w:t>
      </w:r>
      <w:r>
        <w:rPr>
          <w:rFonts w:hint="eastAsia"/>
          <w:highlight w:val="none"/>
        </w:rPr>
        <w:t>提升学生的专业素养、创新能力、学术水平和国际视野。</w:t>
      </w:r>
      <w:r>
        <w:rPr>
          <w:rFonts w:hint="eastAsia"/>
          <w:lang w:val="en-US" w:eastAsia="zh-CN"/>
        </w:rPr>
        <w:t>另一方面，持续拓宽</w:t>
      </w:r>
      <w:r>
        <w:rPr>
          <w:rFonts w:hint="eastAsia"/>
        </w:rPr>
        <w:t>国际交流</w:t>
      </w:r>
      <w:r>
        <w:rPr>
          <w:rFonts w:hint="eastAsia"/>
          <w:lang w:val="en-US" w:eastAsia="zh-CN"/>
        </w:rPr>
        <w:t>渠道</w:t>
      </w:r>
      <w:r>
        <w:rPr>
          <w:rFonts w:hint="eastAsia"/>
        </w:rPr>
        <w:t>，提升国际交流质量。积极开拓优质教育资源合作渠道，通过交流访学、学术会议等形式，鼓励学生赴境外交流学习</w:t>
      </w:r>
      <w:r>
        <w:rPr>
          <w:rFonts w:hint="eastAsia"/>
          <w:lang w:eastAsia="zh-CN"/>
        </w:rPr>
        <w:t>。</w:t>
      </w:r>
      <w:r>
        <w:rPr>
          <w:rFonts w:hint="eastAsia"/>
          <w:lang w:val="en-US" w:eastAsia="zh-CN"/>
        </w:rPr>
        <w:t>此外</w:t>
      </w:r>
      <w:r>
        <w:rPr>
          <w:rFonts w:hint="eastAsia"/>
        </w:rPr>
        <w:t>，采取课题合作、院校共建</w:t>
      </w:r>
      <w:r>
        <w:rPr>
          <w:rFonts w:hint="eastAsia"/>
          <w:lang w:val="en-US" w:eastAsia="zh-CN"/>
        </w:rPr>
        <w:t>等</w:t>
      </w:r>
      <w:r>
        <w:rPr>
          <w:rFonts w:hint="eastAsia"/>
        </w:rPr>
        <w:t>方式，拓展合作途径，</w:t>
      </w:r>
      <w:r>
        <w:rPr>
          <w:rFonts w:hint="eastAsia"/>
          <w:lang w:eastAsia="zh-CN"/>
        </w:rPr>
        <w:t>深化交流层次，</w:t>
      </w:r>
      <w:r>
        <w:rPr>
          <w:rFonts w:hint="eastAsia"/>
        </w:rPr>
        <w:t>为学生对外交流提供多样化的选择。</w:t>
      </w:r>
    </w:p>
    <w:p>
      <w:pPr>
        <w:keepNext w:val="0"/>
        <w:keepLines w:val="0"/>
        <w:widowControl w:val="0"/>
        <w:ind w:firstLine="480" w:firstLineChars="200"/>
        <w:outlineLvl w:val="9"/>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eastAsia="zh-CN"/>
        </w:rPr>
        <w:t>三</w:t>
      </w:r>
      <w:r>
        <w:rPr>
          <w:rFonts w:hint="eastAsia" w:ascii="宋体" w:hAnsi="宋体" w:eastAsia="宋体" w:cs="宋体"/>
          <w:b w:val="0"/>
          <w:bCs w:val="0"/>
          <w:sz w:val="24"/>
          <w:szCs w:val="24"/>
        </w:rPr>
        <w:t>是</w:t>
      </w:r>
      <w:r>
        <w:rPr>
          <w:rFonts w:hint="eastAsia" w:ascii="宋体" w:hAnsi="宋体" w:cs="宋体"/>
          <w:b w:val="0"/>
          <w:bCs w:val="0"/>
          <w:sz w:val="24"/>
          <w:szCs w:val="24"/>
          <w:lang w:val="en-US" w:eastAsia="zh-CN"/>
        </w:rPr>
        <w:t>强化师资力量</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完善学科梯队</w:t>
      </w:r>
      <w:r>
        <w:rPr>
          <w:rFonts w:hint="eastAsia" w:ascii="宋体" w:hAnsi="宋体" w:cs="宋体"/>
          <w:b w:val="0"/>
          <w:bCs w:val="0"/>
          <w:sz w:val="24"/>
          <w:szCs w:val="24"/>
          <w:lang w:val="en-US" w:eastAsia="zh-CN"/>
        </w:rPr>
        <w:t>建设</w:t>
      </w:r>
      <w:r>
        <w:rPr>
          <w:rFonts w:hint="eastAsia" w:ascii="宋体" w:hAnsi="宋体" w:eastAsia="宋体" w:cs="宋体"/>
          <w:b w:val="0"/>
          <w:bCs w:val="0"/>
          <w:sz w:val="24"/>
          <w:szCs w:val="24"/>
        </w:rPr>
        <w:t>。深入学习贯彻习近平总书记关于教育的重要论述和教师队伍建设的重要指示精神，加强研究生导师队伍建设，加强师德师风建设，召开年度师德师风培训会议，组织开展形式多样的研究生导师培训，提升我院教师思想政治和师德师风建设工作水平。加大对中青年骨干教师的培养力度，鼓励导师进修、访学</w:t>
      </w:r>
      <w:r>
        <w:rPr>
          <w:rFonts w:hint="eastAsia" w:ascii="宋体" w:hAnsi="宋体" w:cs="宋体"/>
          <w:b w:val="0"/>
          <w:bCs w:val="0"/>
          <w:sz w:val="24"/>
          <w:szCs w:val="24"/>
          <w:lang w:eastAsia="zh-CN"/>
        </w:rPr>
        <w:t>、</w:t>
      </w:r>
      <w:r>
        <w:rPr>
          <w:rFonts w:hint="eastAsia" w:ascii="宋体" w:hAnsi="宋体" w:cs="宋体"/>
          <w:b w:val="0"/>
          <w:bCs w:val="0"/>
          <w:sz w:val="24"/>
          <w:szCs w:val="24"/>
          <w:lang w:val="en-US" w:eastAsia="zh-CN"/>
        </w:rPr>
        <w:t>加强</w:t>
      </w:r>
      <w:r>
        <w:rPr>
          <w:rFonts w:hint="eastAsia" w:ascii="宋体" w:hAnsi="宋体" w:eastAsia="宋体" w:cs="宋体"/>
          <w:b w:val="0"/>
          <w:bCs w:val="0"/>
          <w:sz w:val="24"/>
          <w:szCs w:val="24"/>
        </w:rPr>
        <w:t>学术交流，</w:t>
      </w:r>
      <w:r>
        <w:rPr>
          <w:rFonts w:hint="eastAsia" w:ascii="宋体" w:hAnsi="宋体" w:cs="宋体"/>
          <w:b w:val="0"/>
          <w:bCs w:val="0"/>
          <w:sz w:val="24"/>
          <w:szCs w:val="24"/>
          <w:lang w:val="en-US" w:eastAsia="zh-CN"/>
        </w:rPr>
        <w:t>全面</w:t>
      </w:r>
      <w:r>
        <w:rPr>
          <w:rFonts w:hint="eastAsia" w:ascii="宋体" w:hAnsi="宋体" w:eastAsia="宋体" w:cs="宋体"/>
          <w:b w:val="0"/>
          <w:bCs w:val="0"/>
          <w:sz w:val="24"/>
          <w:szCs w:val="24"/>
        </w:rPr>
        <w:t>提升中青年教师的教学和科研能力</w:t>
      </w:r>
      <w:r>
        <w:rPr>
          <w:rFonts w:hint="eastAsia" w:ascii="宋体" w:hAnsi="宋体" w:cs="宋体"/>
          <w:b w:val="0"/>
          <w:bCs w:val="0"/>
          <w:sz w:val="24"/>
          <w:szCs w:val="24"/>
          <w:lang w:eastAsia="zh-CN"/>
        </w:rPr>
        <w:t>。</w:t>
      </w:r>
      <w:bookmarkStart w:id="261" w:name="_Toc5886"/>
      <w:bookmarkStart w:id="262" w:name="_Toc67497702"/>
      <w:bookmarkStart w:id="263" w:name="_Toc67260881"/>
      <w:bookmarkStart w:id="264" w:name="_Toc67497739"/>
      <w:bookmarkStart w:id="265" w:name="_Toc127791891"/>
    </w:p>
    <w:p>
      <w:pPr>
        <w:pStyle w:val="4"/>
        <w:keepNext w:val="0"/>
        <w:keepLines w:val="0"/>
        <w:widowControl w:val="0"/>
        <w:ind w:firstLine="602" w:firstLineChars="200"/>
        <w:rPr>
          <w:rFonts w:hint="eastAsia"/>
          <w:highlight w:val="none"/>
        </w:rPr>
      </w:pPr>
      <w:bookmarkStart w:id="266" w:name="_Toc1634"/>
      <w:bookmarkStart w:id="267" w:name="_Toc25073"/>
      <w:bookmarkStart w:id="268" w:name="_Toc20312"/>
      <w:bookmarkStart w:id="269" w:name="_Toc32113"/>
      <w:r>
        <w:rPr>
          <w:rFonts w:hint="eastAsia"/>
          <w:highlight w:val="none"/>
        </w:rPr>
        <w:t>（二）下一步思路举措</w:t>
      </w:r>
      <w:bookmarkEnd w:id="261"/>
      <w:bookmarkEnd w:id="262"/>
      <w:bookmarkEnd w:id="263"/>
      <w:bookmarkEnd w:id="264"/>
      <w:bookmarkEnd w:id="265"/>
      <w:bookmarkEnd w:id="266"/>
      <w:bookmarkEnd w:id="267"/>
      <w:bookmarkEnd w:id="268"/>
      <w:bookmarkEnd w:id="269"/>
    </w:p>
    <w:p>
      <w:pPr>
        <w:ind w:firstLine="420" w:firstLineChars="0"/>
        <w:rPr>
          <w:rFonts w:hint="eastAsia" w:cs="Times New Roman"/>
          <w:b w:val="0"/>
          <w:bCs/>
          <w:color w:val="auto"/>
          <w:highlight w:val="none"/>
          <w:lang w:eastAsia="zh-CN"/>
        </w:rPr>
      </w:pPr>
      <w:r>
        <w:rPr>
          <w:rFonts w:hint="eastAsia"/>
        </w:rPr>
        <w:t>深入学习贯彻党的二十大精神和习近平总书记重要讲话精神</w:t>
      </w:r>
      <w:r>
        <w:rPr>
          <w:rFonts w:hint="eastAsia"/>
          <w:lang w:eastAsia="zh-CN"/>
        </w:rPr>
        <w:t>，</w:t>
      </w:r>
      <w:r>
        <w:rPr>
          <w:rFonts w:hint="eastAsia"/>
        </w:rPr>
        <w:t>全面贯彻落实习近平总书记关于研究生教育工作的重要指示精神</w:t>
      </w:r>
      <w:r>
        <w:rPr>
          <w:rFonts w:hint="eastAsia"/>
          <w:lang w:eastAsia="zh-CN"/>
        </w:rPr>
        <w:t>，</w:t>
      </w:r>
      <w:r>
        <w:rPr>
          <w:rFonts w:hint="eastAsia"/>
        </w:rPr>
        <w:t>把高层次人才培养任务与党和国家教育事业发展高度融合</w:t>
      </w:r>
      <w:r>
        <w:rPr>
          <w:rFonts w:hint="eastAsia"/>
          <w:lang w:eastAsia="zh-CN"/>
        </w:rPr>
        <w:t>，</w:t>
      </w:r>
      <w:r>
        <w:rPr>
          <w:rFonts w:hint="eastAsia"/>
        </w:rPr>
        <w:t>聚焦研究生教育关键和难点问题</w:t>
      </w:r>
      <w:r>
        <w:rPr>
          <w:rFonts w:hint="eastAsia"/>
          <w:lang w:eastAsia="zh-CN"/>
        </w:rPr>
        <w:t>，根据《广东省社会科学院科研事业发展“十四五”规划》，</w:t>
      </w:r>
      <w:r>
        <w:rPr>
          <w:rFonts w:hint="eastAsia"/>
        </w:rPr>
        <w:t>实施</w:t>
      </w:r>
      <w:r>
        <w:rPr>
          <w:rFonts w:hint="default" w:ascii="Times New Roman" w:hAnsi="Times New Roman" w:cs="Times New Roman"/>
          <w:b w:val="0"/>
          <w:bCs/>
          <w:color w:val="auto"/>
          <w:highlight w:val="none"/>
        </w:rPr>
        <w:t>研究生教育创新工程</w:t>
      </w:r>
      <w:r>
        <w:rPr>
          <w:rFonts w:hint="eastAsia" w:cs="Times New Roman"/>
          <w:b w:val="0"/>
          <w:bCs/>
          <w:color w:val="auto"/>
          <w:highlight w:val="none"/>
          <w:lang w:eastAsia="zh-CN"/>
        </w:rPr>
        <w:t>。</w:t>
      </w:r>
    </w:p>
    <w:p>
      <w:pPr>
        <w:ind w:firstLine="420" w:firstLineChars="0"/>
        <w:rPr>
          <w:rFonts w:hint="eastAsia" w:cs="Times New Roman"/>
          <w:b w:val="0"/>
          <w:bCs/>
          <w:color w:val="auto"/>
          <w:highlight w:val="none"/>
          <w:lang w:eastAsia="zh-CN"/>
        </w:rPr>
      </w:pPr>
      <w:r>
        <w:rPr>
          <w:rFonts w:hint="eastAsia" w:cs="Times New Roman"/>
          <w:b w:val="0"/>
          <w:bCs/>
          <w:color w:val="auto"/>
          <w:highlight w:val="none"/>
          <w:lang w:eastAsia="zh-CN"/>
        </w:rPr>
        <w:t>一是实施“灯塔”工程。深入贯彻习近平总书记关于思想政治工作的重要论述精神，认真落实《关于新时代加强和改进思想政治工作的意见》要求，加强研究生思想政治教育，加强党史、新中国史、改革开放史、社会主义发展史和形势政策教育。每年举办8—10人次专家学者“大思政”专题讲座，开展红色教育实践教育，夯实学生热爱党、热爱社会主义中国、立志为中华民族伟大复兴而不懈奋斗的思想根基。</w:t>
      </w:r>
    </w:p>
    <w:p>
      <w:pPr>
        <w:ind w:firstLine="420" w:firstLineChars="0"/>
        <w:rPr>
          <w:rFonts w:hint="eastAsia" w:cs="Times New Roman"/>
          <w:b w:val="0"/>
          <w:bCs/>
          <w:color w:val="auto"/>
          <w:highlight w:val="none"/>
          <w:lang w:eastAsia="zh-CN"/>
        </w:rPr>
      </w:pPr>
      <w:r>
        <w:rPr>
          <w:rFonts w:hint="eastAsia" w:cs="Times New Roman"/>
          <w:b w:val="0"/>
          <w:bCs/>
          <w:color w:val="auto"/>
          <w:highlight w:val="none"/>
          <w:lang w:eastAsia="zh-CN"/>
        </w:rPr>
        <w:t>二是加强学位点建设。高质量完成应用经济学、社会学、中国史等一级学科硕士学位授权点合格评估。</w:t>
      </w:r>
      <w:r>
        <w:rPr>
          <w:rFonts w:hint="eastAsia" w:cs="Times New Roman"/>
          <w:b w:val="0"/>
          <w:bCs/>
          <w:color w:val="auto"/>
          <w:highlight w:val="none"/>
          <w:lang w:val="en-US" w:eastAsia="zh-CN"/>
        </w:rPr>
        <w:t>强化评估结果运用，以评促建、以评促改、以评促管，不断优化结构、凝练特色、提升质量。</w:t>
      </w:r>
      <w:r>
        <w:rPr>
          <w:rFonts w:hint="eastAsia" w:cs="Times New Roman"/>
          <w:b w:val="0"/>
          <w:bCs/>
          <w:color w:val="auto"/>
          <w:highlight w:val="none"/>
          <w:lang w:eastAsia="zh-CN"/>
        </w:rPr>
        <w:t>服务国家、大湾区和广东战略需求，探索二级学科硕士学位授权点增设方向。积极推进与高校马克思主义学院联合培养研究生工作，对标对表、查漏补缺，推动马克思主义学位点在师资队伍、科学研究等方面逐步提升。</w:t>
      </w:r>
    </w:p>
    <w:p>
      <w:pPr>
        <w:ind w:firstLine="420" w:firstLineChars="0"/>
        <w:rPr>
          <w:rFonts w:hint="eastAsia" w:cs="Times New Roman"/>
          <w:b w:val="0"/>
          <w:bCs/>
          <w:color w:val="auto"/>
          <w:highlight w:val="none"/>
          <w:lang w:eastAsia="zh-CN"/>
        </w:rPr>
      </w:pPr>
      <w:r>
        <w:rPr>
          <w:rFonts w:hint="eastAsia" w:cs="Times New Roman"/>
          <w:b w:val="0"/>
          <w:bCs/>
          <w:color w:val="auto"/>
          <w:highlight w:val="none"/>
          <w:lang w:eastAsia="zh-CN"/>
        </w:rPr>
        <w:t>三是提升研究生科研创新能力。</w:t>
      </w:r>
      <w:r>
        <w:rPr>
          <w:rFonts w:hint="eastAsia" w:cs="Times New Roman"/>
          <w:b w:val="0"/>
          <w:bCs/>
          <w:color w:val="auto"/>
          <w:highlight w:val="none"/>
          <w:lang w:val="en-US" w:eastAsia="zh-CN"/>
        </w:rPr>
        <w:t>高质量推进</w:t>
      </w:r>
      <w:r>
        <w:rPr>
          <w:rFonts w:hint="eastAsia" w:cs="Times New Roman"/>
          <w:b w:val="0"/>
          <w:bCs/>
          <w:color w:val="auto"/>
          <w:highlight w:val="none"/>
          <w:lang w:eastAsia="zh-CN"/>
        </w:rPr>
        <w:t>研究生科研创新项目和特色教材项目，加强研究生科研创新项目和研究生特色课程教材建设项目</w:t>
      </w:r>
      <w:r>
        <w:rPr>
          <w:rFonts w:hint="eastAsia" w:cs="Times New Roman"/>
          <w:b w:val="0"/>
          <w:bCs/>
          <w:color w:val="auto"/>
          <w:highlight w:val="none"/>
          <w:lang w:val="en-US" w:eastAsia="zh-CN"/>
        </w:rPr>
        <w:t>全</w:t>
      </w:r>
      <w:r>
        <w:rPr>
          <w:rFonts w:hint="eastAsia" w:cs="Times New Roman"/>
          <w:b w:val="0"/>
          <w:bCs/>
          <w:color w:val="auto"/>
          <w:highlight w:val="none"/>
          <w:lang w:eastAsia="zh-CN"/>
        </w:rPr>
        <w:t>过程管理；鼓励支持研究生积极参加各类学术活动，鼓励研究生勇于开拓创新，敢于攀登科研高峰。</w:t>
      </w:r>
    </w:p>
    <w:p>
      <w:pPr>
        <w:ind w:firstLine="420" w:firstLineChars="0"/>
        <w:rPr>
          <w:rFonts w:hint="eastAsia" w:cs="Times New Roman"/>
          <w:b w:val="0"/>
          <w:bCs/>
          <w:color w:val="auto"/>
          <w:highlight w:val="none"/>
          <w:lang w:val="en-US" w:eastAsia="zh-CN"/>
        </w:rPr>
      </w:pPr>
      <w:r>
        <w:rPr>
          <w:rFonts w:hint="eastAsia" w:cs="Times New Roman"/>
          <w:b w:val="0"/>
          <w:bCs/>
          <w:color w:val="auto"/>
          <w:highlight w:val="none"/>
          <w:lang w:eastAsia="zh-CN"/>
        </w:rPr>
        <w:t>四是实施研究生教育质量保障计划。</w:t>
      </w:r>
      <w:r>
        <w:rPr>
          <w:rFonts w:hint="eastAsia" w:cs="Times New Roman"/>
          <w:b w:val="0"/>
          <w:bCs/>
          <w:color w:val="auto"/>
          <w:highlight w:val="none"/>
          <w:lang w:val="en-US" w:eastAsia="zh-CN"/>
        </w:rPr>
        <w:t>加强</w:t>
      </w:r>
      <w:r>
        <w:rPr>
          <w:rFonts w:hint="eastAsia" w:cs="Times New Roman"/>
          <w:b w:val="0"/>
          <w:bCs/>
          <w:color w:val="auto"/>
          <w:highlight w:val="none"/>
          <w:lang w:eastAsia="zh-CN"/>
        </w:rPr>
        <w:t>研究生部专职管理队伍</w:t>
      </w:r>
      <w:r>
        <w:rPr>
          <w:rFonts w:hint="eastAsia" w:cs="Times New Roman"/>
          <w:b w:val="0"/>
          <w:bCs/>
          <w:color w:val="auto"/>
          <w:highlight w:val="none"/>
          <w:lang w:val="en-US" w:eastAsia="zh-CN"/>
        </w:rPr>
        <w:t>建设</w:t>
      </w:r>
      <w:r>
        <w:rPr>
          <w:rFonts w:hint="eastAsia" w:cs="Times New Roman"/>
          <w:b w:val="0"/>
          <w:bCs/>
          <w:color w:val="auto"/>
          <w:highlight w:val="none"/>
          <w:lang w:eastAsia="zh-CN"/>
        </w:rPr>
        <w:t>，</w:t>
      </w:r>
      <w:r>
        <w:rPr>
          <w:rFonts w:hint="eastAsia" w:cs="Times New Roman"/>
          <w:b w:val="0"/>
          <w:bCs/>
          <w:color w:val="auto"/>
          <w:highlight w:val="none"/>
          <w:lang w:val="en-US" w:eastAsia="zh-CN"/>
        </w:rPr>
        <w:t>开展常态化教育培训，</w:t>
      </w:r>
      <w:r>
        <w:rPr>
          <w:rFonts w:hint="eastAsia" w:cs="Times New Roman"/>
          <w:b w:val="0"/>
          <w:bCs/>
          <w:color w:val="auto"/>
          <w:highlight w:val="none"/>
          <w:lang w:eastAsia="zh-CN"/>
        </w:rPr>
        <w:t>提升专业化服务管理水平。强化导师作为研究生培养第一责任人的职责意识，落实</w:t>
      </w:r>
      <w:r>
        <w:rPr>
          <w:rFonts w:hint="eastAsia" w:cs="Times New Roman"/>
          <w:b w:val="0"/>
          <w:bCs/>
          <w:color w:val="auto"/>
          <w:highlight w:val="none"/>
          <w:lang w:val="en-US" w:eastAsia="zh-CN"/>
        </w:rPr>
        <w:t>各学位点培养的</w:t>
      </w:r>
      <w:r>
        <w:rPr>
          <w:rFonts w:hint="eastAsia" w:cs="Times New Roman"/>
          <w:b w:val="0"/>
          <w:bCs/>
          <w:color w:val="auto"/>
          <w:highlight w:val="none"/>
          <w:lang w:eastAsia="zh-CN"/>
        </w:rPr>
        <w:t>主体责任，</w:t>
      </w:r>
      <w:r>
        <w:rPr>
          <w:rFonts w:hint="eastAsia" w:cs="Times New Roman"/>
          <w:b w:val="0"/>
          <w:bCs/>
          <w:color w:val="auto"/>
          <w:highlight w:val="none"/>
          <w:lang w:val="en-US" w:eastAsia="zh-CN"/>
        </w:rPr>
        <w:t>进一步完善</w:t>
      </w:r>
      <w:r>
        <w:rPr>
          <w:rFonts w:hint="eastAsia" w:cs="Times New Roman"/>
          <w:b w:val="0"/>
          <w:bCs/>
          <w:color w:val="auto"/>
          <w:highlight w:val="none"/>
          <w:lang w:eastAsia="zh-CN"/>
        </w:rPr>
        <w:t>导师、</w:t>
      </w:r>
      <w:r>
        <w:rPr>
          <w:rFonts w:hint="eastAsia" w:cs="Times New Roman"/>
          <w:b w:val="0"/>
          <w:bCs/>
          <w:color w:val="auto"/>
          <w:highlight w:val="none"/>
          <w:lang w:val="en-US" w:eastAsia="zh-CN"/>
        </w:rPr>
        <w:t>教师、辅导员</w:t>
      </w:r>
      <w:r>
        <w:rPr>
          <w:rFonts w:hint="eastAsia" w:cs="Times New Roman"/>
          <w:b w:val="0"/>
          <w:bCs/>
          <w:color w:val="auto"/>
          <w:highlight w:val="none"/>
          <w:lang w:eastAsia="zh-CN"/>
        </w:rPr>
        <w:t>与研究生密切联系的渠道与机制，</w:t>
      </w:r>
      <w:r>
        <w:rPr>
          <w:rFonts w:hint="eastAsia" w:cs="Times New Roman"/>
          <w:b w:val="0"/>
          <w:bCs/>
          <w:color w:val="auto"/>
          <w:highlight w:val="none"/>
          <w:lang w:val="en-US" w:eastAsia="zh-CN"/>
        </w:rPr>
        <w:t>关心学生生活、关爱学生成长，五育并举促进心理健康，培育学生积极的人生态度，促进学生手脑结合、身心和谐发展。</w:t>
      </w:r>
      <w:r>
        <w:rPr>
          <w:rFonts w:hint="eastAsia" w:cs="Times New Roman"/>
          <w:b w:val="0"/>
          <w:bCs/>
          <w:color w:val="auto"/>
          <w:highlight w:val="none"/>
          <w:lang w:eastAsia="zh-CN"/>
        </w:rPr>
        <w:t>健全研究生招考、培养、考核、奖励、学位授予等全过程质量控制与保障体系。强化院风学风建设，完善师德师风教育机制，加强导师岗位管理，健全导师梯队建设，完善导师组制度。加大研究生教育经费投入，完善必备的住宿、教学、实习资源，加强校园数字资源和信息化建设，逐步完善“软”“硬”件，为研究生学习生活营造良好环境。</w:t>
      </w:r>
    </w:p>
    <w:p>
      <w:pPr>
        <w:ind w:firstLine="420" w:firstLineChars="0"/>
        <w:rPr>
          <w:rFonts w:hint="default"/>
          <w:lang w:val="en-US" w:eastAsia="zh-CN"/>
        </w:rPr>
      </w:pPr>
    </w:p>
    <w:sectPr>
      <w:footnotePr>
        <w:numFmt w:val="decimalEnclosedCircleChinese"/>
        <w:numRestart w:val="eachPage"/>
      </w:footnote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CESI宋体-GB2312">
    <w:altName w:val="宋体"/>
    <w:panose1 w:val="02000500000000000000"/>
    <w:charset w:val="86"/>
    <w:family w:val="auto"/>
    <w:pitch w:val="default"/>
    <w:sig w:usb0="00000000" w:usb1="00000000"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480"/>
      <w:jc w:val="center"/>
    </w:pPr>
  </w:p>
  <w:p>
    <w:pPr>
      <w:tabs>
        <w:tab w:val="center" w:pos="4153"/>
        <w:tab w:val="right" w:pos="8306"/>
      </w:tabs>
      <w:ind w:firstLine="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480"/>
      <w:jc w:val="center"/>
    </w:pPr>
    <w:r>
      <w:fldChar w:fldCharType="begin"/>
    </w:r>
    <w:r>
      <w:instrText xml:space="preserve">PAGE   \* MERGEFORMAT</w:instrText>
    </w:r>
    <w:r>
      <w:fldChar w:fldCharType="separate"/>
    </w:r>
    <w:r>
      <w:rPr>
        <w:lang w:val="zh-CN"/>
      </w:rPr>
      <w:t>III</w:t>
    </w:r>
    <w:r>
      <w:fldChar w:fldCharType="end"/>
    </w:r>
  </w:p>
  <w:p>
    <w:pPr>
      <w:tabs>
        <w:tab w:val="center" w:pos="4153"/>
        <w:tab w:val="right" w:pos="8306"/>
      </w:tabs>
      <w:ind w:firstLine="4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560"/>
      <w:jc w:val="center"/>
      <w:rPr>
        <w:rFonts w:hint="eastAsia" w:ascii="宋体" w:hAnsi="宋体" w:cs="宋体"/>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PAGE   \* MERGEFORMAT</w:instrText>
    </w:r>
    <w:r>
      <w:rPr>
        <w:rFonts w:hint="default" w:ascii="Times New Roman" w:hAnsi="Times New Roman" w:cs="Times New Roman"/>
        <w:sz w:val="24"/>
        <w:szCs w:val="24"/>
      </w:rPr>
      <w:fldChar w:fldCharType="separate"/>
    </w:r>
    <w:r>
      <w:rPr>
        <w:rFonts w:ascii="Times New Roman" w:hAnsi="Times New Roman" w:cs="Times New Roman"/>
        <w:sz w:val="24"/>
        <w:szCs w:val="24"/>
        <w:lang w:val="zh-CN"/>
      </w:rPr>
      <w:t>18</w:t>
    </w:r>
    <w:r>
      <w:rPr>
        <w:rFonts w:hint="default" w:ascii="Times New Roman" w:hAnsi="Times New Roman" w:cs="Times New Roman"/>
        <w:sz w:val="24"/>
        <w:szCs w:val="24"/>
      </w:rPr>
      <w:fldChar w:fldCharType="end"/>
    </w:r>
  </w:p>
  <w:p>
    <w:pPr>
      <w:tabs>
        <w:tab w:val="center" w:pos="4153"/>
        <w:tab w:val="right" w:pos="8306"/>
      </w:tabs>
      <w:ind w:firstLine="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footnotePr>
    <w:numFmt w:val="decimalEnclosedCircleChinese"/>
    <w:numRestart w:val="eachPage"/>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yYThhYWIzM2FjZmZmMmZhMGJiNTAwZmVhMzg2ODAifQ=="/>
    <w:docVar w:name="KSO_WPS_MARK_KEY" w:val="f3349908-e9b7-4965-8fa7-c091f7ef77d4"/>
  </w:docVars>
  <w:rsids>
    <w:rsidRoot w:val="00E35209"/>
    <w:rsid w:val="000001C8"/>
    <w:rsid w:val="00002DCE"/>
    <w:rsid w:val="000049EE"/>
    <w:rsid w:val="00004A38"/>
    <w:rsid w:val="00004B13"/>
    <w:rsid w:val="00012850"/>
    <w:rsid w:val="0001421F"/>
    <w:rsid w:val="00031862"/>
    <w:rsid w:val="00032F82"/>
    <w:rsid w:val="00033E3E"/>
    <w:rsid w:val="00041125"/>
    <w:rsid w:val="000452F7"/>
    <w:rsid w:val="00045CC7"/>
    <w:rsid w:val="00050BFB"/>
    <w:rsid w:val="00066246"/>
    <w:rsid w:val="00067A62"/>
    <w:rsid w:val="00072034"/>
    <w:rsid w:val="0007264E"/>
    <w:rsid w:val="000751D0"/>
    <w:rsid w:val="00082604"/>
    <w:rsid w:val="00086E4D"/>
    <w:rsid w:val="00087EFA"/>
    <w:rsid w:val="0009725A"/>
    <w:rsid w:val="000A66A9"/>
    <w:rsid w:val="000B2ADC"/>
    <w:rsid w:val="000B3BB3"/>
    <w:rsid w:val="000B5EBD"/>
    <w:rsid w:val="000B7752"/>
    <w:rsid w:val="000C107D"/>
    <w:rsid w:val="000C2287"/>
    <w:rsid w:val="000C3FD9"/>
    <w:rsid w:val="000C4B34"/>
    <w:rsid w:val="000C4D16"/>
    <w:rsid w:val="000C5358"/>
    <w:rsid w:val="000C56E8"/>
    <w:rsid w:val="000D2D6A"/>
    <w:rsid w:val="000D379B"/>
    <w:rsid w:val="000D380B"/>
    <w:rsid w:val="000D39D3"/>
    <w:rsid w:val="000D42D8"/>
    <w:rsid w:val="000D5EE9"/>
    <w:rsid w:val="000D7EEF"/>
    <w:rsid w:val="000F23B1"/>
    <w:rsid w:val="000F3B9D"/>
    <w:rsid w:val="000F47C8"/>
    <w:rsid w:val="000F4DC0"/>
    <w:rsid w:val="000F5AF6"/>
    <w:rsid w:val="000F5D71"/>
    <w:rsid w:val="000F713B"/>
    <w:rsid w:val="0010055E"/>
    <w:rsid w:val="0012046B"/>
    <w:rsid w:val="001210B2"/>
    <w:rsid w:val="00124D05"/>
    <w:rsid w:val="00124EA2"/>
    <w:rsid w:val="00125324"/>
    <w:rsid w:val="00125B66"/>
    <w:rsid w:val="001269C9"/>
    <w:rsid w:val="00132759"/>
    <w:rsid w:val="0013543E"/>
    <w:rsid w:val="00136E77"/>
    <w:rsid w:val="00145631"/>
    <w:rsid w:val="00145B51"/>
    <w:rsid w:val="00150C02"/>
    <w:rsid w:val="00155193"/>
    <w:rsid w:val="00155557"/>
    <w:rsid w:val="001604D9"/>
    <w:rsid w:val="001643A2"/>
    <w:rsid w:val="00164650"/>
    <w:rsid w:val="0016744B"/>
    <w:rsid w:val="00167D0A"/>
    <w:rsid w:val="0017197C"/>
    <w:rsid w:val="0017378A"/>
    <w:rsid w:val="001859EF"/>
    <w:rsid w:val="001870D3"/>
    <w:rsid w:val="00191C51"/>
    <w:rsid w:val="00193161"/>
    <w:rsid w:val="001941C4"/>
    <w:rsid w:val="00194C3D"/>
    <w:rsid w:val="00194C7F"/>
    <w:rsid w:val="001961A5"/>
    <w:rsid w:val="001A1D59"/>
    <w:rsid w:val="001A2EA2"/>
    <w:rsid w:val="001A3880"/>
    <w:rsid w:val="001A5D16"/>
    <w:rsid w:val="001A60CE"/>
    <w:rsid w:val="001B3525"/>
    <w:rsid w:val="001B789C"/>
    <w:rsid w:val="001C0410"/>
    <w:rsid w:val="001C0FDD"/>
    <w:rsid w:val="001C1D63"/>
    <w:rsid w:val="001C36A0"/>
    <w:rsid w:val="001C4F93"/>
    <w:rsid w:val="001C650E"/>
    <w:rsid w:val="001C70C1"/>
    <w:rsid w:val="001D090A"/>
    <w:rsid w:val="001D53DE"/>
    <w:rsid w:val="001E0E55"/>
    <w:rsid w:val="001E2CD5"/>
    <w:rsid w:val="001E3C4B"/>
    <w:rsid w:val="001E49DF"/>
    <w:rsid w:val="001E7125"/>
    <w:rsid w:val="001E7A6A"/>
    <w:rsid w:val="001F22ED"/>
    <w:rsid w:val="001F27E1"/>
    <w:rsid w:val="00200C4B"/>
    <w:rsid w:val="00201E16"/>
    <w:rsid w:val="00203FA9"/>
    <w:rsid w:val="00204C2A"/>
    <w:rsid w:val="002061AD"/>
    <w:rsid w:val="00207BAE"/>
    <w:rsid w:val="00211C0D"/>
    <w:rsid w:val="00212037"/>
    <w:rsid w:val="00222283"/>
    <w:rsid w:val="00223EC0"/>
    <w:rsid w:val="002256AB"/>
    <w:rsid w:val="00235552"/>
    <w:rsid w:val="00235582"/>
    <w:rsid w:val="0023710A"/>
    <w:rsid w:val="0023710B"/>
    <w:rsid w:val="002416F1"/>
    <w:rsid w:val="00247343"/>
    <w:rsid w:val="002517AE"/>
    <w:rsid w:val="0025476B"/>
    <w:rsid w:val="002610E2"/>
    <w:rsid w:val="00262F3C"/>
    <w:rsid w:val="00270758"/>
    <w:rsid w:val="0027480C"/>
    <w:rsid w:val="002755AA"/>
    <w:rsid w:val="00285679"/>
    <w:rsid w:val="0029432B"/>
    <w:rsid w:val="002A071B"/>
    <w:rsid w:val="002B0CA1"/>
    <w:rsid w:val="002B2AF6"/>
    <w:rsid w:val="002B4AE2"/>
    <w:rsid w:val="002B6BA1"/>
    <w:rsid w:val="002D0D36"/>
    <w:rsid w:val="002D175E"/>
    <w:rsid w:val="002D230D"/>
    <w:rsid w:val="002D3679"/>
    <w:rsid w:val="002D37B6"/>
    <w:rsid w:val="002D59D0"/>
    <w:rsid w:val="002D7FB3"/>
    <w:rsid w:val="002E2C5A"/>
    <w:rsid w:val="002E6ED0"/>
    <w:rsid w:val="002F3144"/>
    <w:rsid w:val="00300097"/>
    <w:rsid w:val="00300860"/>
    <w:rsid w:val="00302F95"/>
    <w:rsid w:val="0031100C"/>
    <w:rsid w:val="00316C63"/>
    <w:rsid w:val="00322EB7"/>
    <w:rsid w:val="00323DD7"/>
    <w:rsid w:val="00324675"/>
    <w:rsid w:val="0033443A"/>
    <w:rsid w:val="003345E8"/>
    <w:rsid w:val="00337412"/>
    <w:rsid w:val="00341526"/>
    <w:rsid w:val="00341DC4"/>
    <w:rsid w:val="00346458"/>
    <w:rsid w:val="00347345"/>
    <w:rsid w:val="00347DD7"/>
    <w:rsid w:val="00362E0F"/>
    <w:rsid w:val="003634A1"/>
    <w:rsid w:val="0036388D"/>
    <w:rsid w:val="00364681"/>
    <w:rsid w:val="003655E5"/>
    <w:rsid w:val="003677BD"/>
    <w:rsid w:val="00372736"/>
    <w:rsid w:val="00374886"/>
    <w:rsid w:val="00375441"/>
    <w:rsid w:val="00376113"/>
    <w:rsid w:val="003815E4"/>
    <w:rsid w:val="00382E1C"/>
    <w:rsid w:val="003847BE"/>
    <w:rsid w:val="003848F2"/>
    <w:rsid w:val="0039005B"/>
    <w:rsid w:val="00394E04"/>
    <w:rsid w:val="00395C28"/>
    <w:rsid w:val="003A0061"/>
    <w:rsid w:val="003B21A4"/>
    <w:rsid w:val="003B26FC"/>
    <w:rsid w:val="003C2AB4"/>
    <w:rsid w:val="003D3A1F"/>
    <w:rsid w:val="003D5146"/>
    <w:rsid w:val="003D59F4"/>
    <w:rsid w:val="003E3B1A"/>
    <w:rsid w:val="003F3852"/>
    <w:rsid w:val="003F49DE"/>
    <w:rsid w:val="003F7471"/>
    <w:rsid w:val="00401468"/>
    <w:rsid w:val="004021B2"/>
    <w:rsid w:val="00403B4A"/>
    <w:rsid w:val="00405EAC"/>
    <w:rsid w:val="00413698"/>
    <w:rsid w:val="004139D8"/>
    <w:rsid w:val="004201E6"/>
    <w:rsid w:val="00424EE5"/>
    <w:rsid w:val="004413AD"/>
    <w:rsid w:val="00447C03"/>
    <w:rsid w:val="004527B9"/>
    <w:rsid w:val="00470126"/>
    <w:rsid w:val="00472383"/>
    <w:rsid w:val="00473163"/>
    <w:rsid w:val="00474C2C"/>
    <w:rsid w:val="0048167B"/>
    <w:rsid w:val="00481922"/>
    <w:rsid w:val="00484E6D"/>
    <w:rsid w:val="00491DEC"/>
    <w:rsid w:val="004955B5"/>
    <w:rsid w:val="0049604B"/>
    <w:rsid w:val="004960C2"/>
    <w:rsid w:val="004A32A8"/>
    <w:rsid w:val="004B5F47"/>
    <w:rsid w:val="004B6D59"/>
    <w:rsid w:val="004C56BB"/>
    <w:rsid w:val="004D35F4"/>
    <w:rsid w:val="004D4DC5"/>
    <w:rsid w:val="004D5744"/>
    <w:rsid w:val="004D59A3"/>
    <w:rsid w:val="004D79B6"/>
    <w:rsid w:val="004E2B37"/>
    <w:rsid w:val="004F3232"/>
    <w:rsid w:val="004F5C43"/>
    <w:rsid w:val="005004E8"/>
    <w:rsid w:val="00501F93"/>
    <w:rsid w:val="00504451"/>
    <w:rsid w:val="0050515D"/>
    <w:rsid w:val="00510D78"/>
    <w:rsid w:val="00511038"/>
    <w:rsid w:val="00516030"/>
    <w:rsid w:val="00521C16"/>
    <w:rsid w:val="0053339D"/>
    <w:rsid w:val="005341E8"/>
    <w:rsid w:val="0053534E"/>
    <w:rsid w:val="0053572A"/>
    <w:rsid w:val="00535E7A"/>
    <w:rsid w:val="00547FF5"/>
    <w:rsid w:val="00551757"/>
    <w:rsid w:val="00552229"/>
    <w:rsid w:val="00552AC7"/>
    <w:rsid w:val="005531B0"/>
    <w:rsid w:val="005531E6"/>
    <w:rsid w:val="00553D7B"/>
    <w:rsid w:val="00554F69"/>
    <w:rsid w:val="00561D61"/>
    <w:rsid w:val="005709AF"/>
    <w:rsid w:val="0057325E"/>
    <w:rsid w:val="00573457"/>
    <w:rsid w:val="005821CA"/>
    <w:rsid w:val="0058445E"/>
    <w:rsid w:val="00591F40"/>
    <w:rsid w:val="005925D7"/>
    <w:rsid w:val="005A3F0D"/>
    <w:rsid w:val="005A5522"/>
    <w:rsid w:val="005B12A6"/>
    <w:rsid w:val="005B21BE"/>
    <w:rsid w:val="005B36F1"/>
    <w:rsid w:val="005B4D42"/>
    <w:rsid w:val="005B67E4"/>
    <w:rsid w:val="005B70EC"/>
    <w:rsid w:val="005B7FE4"/>
    <w:rsid w:val="005C6258"/>
    <w:rsid w:val="005D0881"/>
    <w:rsid w:val="005D19F8"/>
    <w:rsid w:val="005D2C4C"/>
    <w:rsid w:val="005D3C09"/>
    <w:rsid w:val="005D563D"/>
    <w:rsid w:val="005E460D"/>
    <w:rsid w:val="005E66E5"/>
    <w:rsid w:val="005F0A48"/>
    <w:rsid w:val="005F6EE8"/>
    <w:rsid w:val="005F7E65"/>
    <w:rsid w:val="0060141F"/>
    <w:rsid w:val="00601FB9"/>
    <w:rsid w:val="006033CD"/>
    <w:rsid w:val="0060414A"/>
    <w:rsid w:val="00605059"/>
    <w:rsid w:val="00605549"/>
    <w:rsid w:val="00605A5B"/>
    <w:rsid w:val="006149A2"/>
    <w:rsid w:val="0061536D"/>
    <w:rsid w:val="00616804"/>
    <w:rsid w:val="00620798"/>
    <w:rsid w:val="0062107B"/>
    <w:rsid w:val="00621C19"/>
    <w:rsid w:val="00624836"/>
    <w:rsid w:val="00624B89"/>
    <w:rsid w:val="00632B2C"/>
    <w:rsid w:val="00636525"/>
    <w:rsid w:val="00643728"/>
    <w:rsid w:val="006454EA"/>
    <w:rsid w:val="00650959"/>
    <w:rsid w:val="00654A0E"/>
    <w:rsid w:val="0065626C"/>
    <w:rsid w:val="0065656D"/>
    <w:rsid w:val="0066141C"/>
    <w:rsid w:val="00661729"/>
    <w:rsid w:val="006625B2"/>
    <w:rsid w:val="006646DD"/>
    <w:rsid w:val="00670089"/>
    <w:rsid w:val="0067430D"/>
    <w:rsid w:val="006748C0"/>
    <w:rsid w:val="00675390"/>
    <w:rsid w:val="00675856"/>
    <w:rsid w:val="00684CCD"/>
    <w:rsid w:val="00685B09"/>
    <w:rsid w:val="0068630F"/>
    <w:rsid w:val="00687C02"/>
    <w:rsid w:val="00687F22"/>
    <w:rsid w:val="00693730"/>
    <w:rsid w:val="0069647D"/>
    <w:rsid w:val="006A2B1B"/>
    <w:rsid w:val="006A37C3"/>
    <w:rsid w:val="006A7616"/>
    <w:rsid w:val="006B5597"/>
    <w:rsid w:val="006B6491"/>
    <w:rsid w:val="006C7104"/>
    <w:rsid w:val="006C790F"/>
    <w:rsid w:val="006D106D"/>
    <w:rsid w:val="006D2278"/>
    <w:rsid w:val="006D380F"/>
    <w:rsid w:val="006E3A94"/>
    <w:rsid w:val="006E3BE4"/>
    <w:rsid w:val="006F0288"/>
    <w:rsid w:val="006F0A45"/>
    <w:rsid w:val="006F0D0F"/>
    <w:rsid w:val="006F2226"/>
    <w:rsid w:val="006F6A8F"/>
    <w:rsid w:val="00700530"/>
    <w:rsid w:val="00700609"/>
    <w:rsid w:val="00701FCA"/>
    <w:rsid w:val="00706E4B"/>
    <w:rsid w:val="00720716"/>
    <w:rsid w:val="00720E66"/>
    <w:rsid w:val="00731A7B"/>
    <w:rsid w:val="007450B9"/>
    <w:rsid w:val="007452C9"/>
    <w:rsid w:val="00746190"/>
    <w:rsid w:val="0074794E"/>
    <w:rsid w:val="007509CC"/>
    <w:rsid w:val="0075433C"/>
    <w:rsid w:val="007553B8"/>
    <w:rsid w:val="00756624"/>
    <w:rsid w:val="00757527"/>
    <w:rsid w:val="00757F1D"/>
    <w:rsid w:val="00760392"/>
    <w:rsid w:val="007618EB"/>
    <w:rsid w:val="00765FCA"/>
    <w:rsid w:val="0076676F"/>
    <w:rsid w:val="00767A00"/>
    <w:rsid w:val="00772F3F"/>
    <w:rsid w:val="007740EE"/>
    <w:rsid w:val="0077490F"/>
    <w:rsid w:val="00775490"/>
    <w:rsid w:val="00780EF8"/>
    <w:rsid w:val="007856DF"/>
    <w:rsid w:val="00787AC1"/>
    <w:rsid w:val="00796585"/>
    <w:rsid w:val="007969D9"/>
    <w:rsid w:val="007A2067"/>
    <w:rsid w:val="007A4FDB"/>
    <w:rsid w:val="007B431E"/>
    <w:rsid w:val="007B5A34"/>
    <w:rsid w:val="007B614C"/>
    <w:rsid w:val="007C1D11"/>
    <w:rsid w:val="007C3870"/>
    <w:rsid w:val="007C7C36"/>
    <w:rsid w:val="007D2DCD"/>
    <w:rsid w:val="007E1F59"/>
    <w:rsid w:val="007F1E02"/>
    <w:rsid w:val="007F62F0"/>
    <w:rsid w:val="008066E3"/>
    <w:rsid w:val="008070F7"/>
    <w:rsid w:val="00810973"/>
    <w:rsid w:val="00810F72"/>
    <w:rsid w:val="00813CB4"/>
    <w:rsid w:val="00814744"/>
    <w:rsid w:val="008147D3"/>
    <w:rsid w:val="0082291D"/>
    <w:rsid w:val="00826598"/>
    <w:rsid w:val="008333AA"/>
    <w:rsid w:val="008423ED"/>
    <w:rsid w:val="0084300D"/>
    <w:rsid w:val="008454D8"/>
    <w:rsid w:val="008519CC"/>
    <w:rsid w:val="0085211A"/>
    <w:rsid w:val="0085666F"/>
    <w:rsid w:val="00860CD1"/>
    <w:rsid w:val="00863051"/>
    <w:rsid w:val="008631B9"/>
    <w:rsid w:val="008673C8"/>
    <w:rsid w:val="00872666"/>
    <w:rsid w:val="00877A2F"/>
    <w:rsid w:val="00882CD7"/>
    <w:rsid w:val="00884C05"/>
    <w:rsid w:val="008854CB"/>
    <w:rsid w:val="00892E8C"/>
    <w:rsid w:val="008962AC"/>
    <w:rsid w:val="0089690C"/>
    <w:rsid w:val="008A1F20"/>
    <w:rsid w:val="008A72EB"/>
    <w:rsid w:val="008B07A6"/>
    <w:rsid w:val="008B088D"/>
    <w:rsid w:val="008B3E0C"/>
    <w:rsid w:val="008B51D1"/>
    <w:rsid w:val="008C1E05"/>
    <w:rsid w:val="008C3B44"/>
    <w:rsid w:val="008C56B1"/>
    <w:rsid w:val="008D315D"/>
    <w:rsid w:val="008D3FD8"/>
    <w:rsid w:val="008E4985"/>
    <w:rsid w:val="008E771A"/>
    <w:rsid w:val="008F1409"/>
    <w:rsid w:val="0090036B"/>
    <w:rsid w:val="0090669C"/>
    <w:rsid w:val="00906F9C"/>
    <w:rsid w:val="009112B2"/>
    <w:rsid w:val="0091273E"/>
    <w:rsid w:val="00922DCC"/>
    <w:rsid w:val="00923E57"/>
    <w:rsid w:val="00925E25"/>
    <w:rsid w:val="00932A45"/>
    <w:rsid w:val="00954529"/>
    <w:rsid w:val="009606F4"/>
    <w:rsid w:val="00960817"/>
    <w:rsid w:val="00964259"/>
    <w:rsid w:val="0096455B"/>
    <w:rsid w:val="00967379"/>
    <w:rsid w:val="009673AA"/>
    <w:rsid w:val="00967612"/>
    <w:rsid w:val="0097167E"/>
    <w:rsid w:val="009839A9"/>
    <w:rsid w:val="00987EC7"/>
    <w:rsid w:val="00990052"/>
    <w:rsid w:val="009910FE"/>
    <w:rsid w:val="00993CBC"/>
    <w:rsid w:val="009A247D"/>
    <w:rsid w:val="009A3E12"/>
    <w:rsid w:val="009B79A3"/>
    <w:rsid w:val="009C055A"/>
    <w:rsid w:val="009C1D2B"/>
    <w:rsid w:val="009E3DEB"/>
    <w:rsid w:val="009E590B"/>
    <w:rsid w:val="009E69EB"/>
    <w:rsid w:val="009F2F0D"/>
    <w:rsid w:val="009F3F6C"/>
    <w:rsid w:val="009F42DA"/>
    <w:rsid w:val="009F4877"/>
    <w:rsid w:val="009F5EC1"/>
    <w:rsid w:val="00A06C6D"/>
    <w:rsid w:val="00A0756A"/>
    <w:rsid w:val="00A12204"/>
    <w:rsid w:val="00A1387A"/>
    <w:rsid w:val="00A1566D"/>
    <w:rsid w:val="00A21C95"/>
    <w:rsid w:val="00A22725"/>
    <w:rsid w:val="00A3150E"/>
    <w:rsid w:val="00A32340"/>
    <w:rsid w:val="00A32E97"/>
    <w:rsid w:val="00A32F31"/>
    <w:rsid w:val="00A33A15"/>
    <w:rsid w:val="00A33E63"/>
    <w:rsid w:val="00A3487E"/>
    <w:rsid w:val="00A37B6C"/>
    <w:rsid w:val="00A4019C"/>
    <w:rsid w:val="00A41C64"/>
    <w:rsid w:val="00A432B7"/>
    <w:rsid w:val="00A46A54"/>
    <w:rsid w:val="00A52915"/>
    <w:rsid w:val="00A578D7"/>
    <w:rsid w:val="00A57C1A"/>
    <w:rsid w:val="00A61BFA"/>
    <w:rsid w:val="00A64F8D"/>
    <w:rsid w:val="00A65DC4"/>
    <w:rsid w:val="00A71561"/>
    <w:rsid w:val="00A76AC0"/>
    <w:rsid w:val="00A778A5"/>
    <w:rsid w:val="00A81423"/>
    <w:rsid w:val="00A82D4D"/>
    <w:rsid w:val="00A9150C"/>
    <w:rsid w:val="00A91F6E"/>
    <w:rsid w:val="00A9622D"/>
    <w:rsid w:val="00A97522"/>
    <w:rsid w:val="00AA3489"/>
    <w:rsid w:val="00AA716D"/>
    <w:rsid w:val="00AA7724"/>
    <w:rsid w:val="00AB5086"/>
    <w:rsid w:val="00AB5F5E"/>
    <w:rsid w:val="00AC177C"/>
    <w:rsid w:val="00AC2BF1"/>
    <w:rsid w:val="00AC414A"/>
    <w:rsid w:val="00AC5C1C"/>
    <w:rsid w:val="00AC6DF1"/>
    <w:rsid w:val="00AC7E62"/>
    <w:rsid w:val="00AD2115"/>
    <w:rsid w:val="00AD4294"/>
    <w:rsid w:val="00AD4981"/>
    <w:rsid w:val="00AE0CBB"/>
    <w:rsid w:val="00AE2434"/>
    <w:rsid w:val="00AE794E"/>
    <w:rsid w:val="00AE7C44"/>
    <w:rsid w:val="00AF31BE"/>
    <w:rsid w:val="00AF324D"/>
    <w:rsid w:val="00AF47E2"/>
    <w:rsid w:val="00AF6CAC"/>
    <w:rsid w:val="00B04895"/>
    <w:rsid w:val="00B100F3"/>
    <w:rsid w:val="00B11340"/>
    <w:rsid w:val="00B15C60"/>
    <w:rsid w:val="00B176A5"/>
    <w:rsid w:val="00B315AE"/>
    <w:rsid w:val="00B31964"/>
    <w:rsid w:val="00B36FCE"/>
    <w:rsid w:val="00B44F46"/>
    <w:rsid w:val="00B55312"/>
    <w:rsid w:val="00B5628F"/>
    <w:rsid w:val="00B576FE"/>
    <w:rsid w:val="00B626B1"/>
    <w:rsid w:val="00B65445"/>
    <w:rsid w:val="00B715F0"/>
    <w:rsid w:val="00B74CDF"/>
    <w:rsid w:val="00B84482"/>
    <w:rsid w:val="00B92363"/>
    <w:rsid w:val="00B9562A"/>
    <w:rsid w:val="00B959CB"/>
    <w:rsid w:val="00BA51CE"/>
    <w:rsid w:val="00BB04AA"/>
    <w:rsid w:val="00BB2381"/>
    <w:rsid w:val="00BB2702"/>
    <w:rsid w:val="00BB34C4"/>
    <w:rsid w:val="00BB5511"/>
    <w:rsid w:val="00BB7E20"/>
    <w:rsid w:val="00BC1DC8"/>
    <w:rsid w:val="00BC40AD"/>
    <w:rsid w:val="00BC69CD"/>
    <w:rsid w:val="00BD0BE2"/>
    <w:rsid w:val="00BD464A"/>
    <w:rsid w:val="00BD5971"/>
    <w:rsid w:val="00BD59F9"/>
    <w:rsid w:val="00BD7D2C"/>
    <w:rsid w:val="00BE0485"/>
    <w:rsid w:val="00BE104D"/>
    <w:rsid w:val="00BE3973"/>
    <w:rsid w:val="00BE6F2F"/>
    <w:rsid w:val="00BF1BA6"/>
    <w:rsid w:val="00C05192"/>
    <w:rsid w:val="00C05202"/>
    <w:rsid w:val="00C10603"/>
    <w:rsid w:val="00C14B91"/>
    <w:rsid w:val="00C14DD7"/>
    <w:rsid w:val="00C17C2C"/>
    <w:rsid w:val="00C212B3"/>
    <w:rsid w:val="00C22524"/>
    <w:rsid w:val="00C2425E"/>
    <w:rsid w:val="00C24CBE"/>
    <w:rsid w:val="00C34B73"/>
    <w:rsid w:val="00C3638D"/>
    <w:rsid w:val="00C374F2"/>
    <w:rsid w:val="00C41361"/>
    <w:rsid w:val="00C5021D"/>
    <w:rsid w:val="00C52EAE"/>
    <w:rsid w:val="00C5301A"/>
    <w:rsid w:val="00C558B4"/>
    <w:rsid w:val="00C60437"/>
    <w:rsid w:val="00C6330B"/>
    <w:rsid w:val="00C640B4"/>
    <w:rsid w:val="00C64A39"/>
    <w:rsid w:val="00C66D25"/>
    <w:rsid w:val="00C7208C"/>
    <w:rsid w:val="00C737AB"/>
    <w:rsid w:val="00C752A8"/>
    <w:rsid w:val="00C85DFC"/>
    <w:rsid w:val="00C878D2"/>
    <w:rsid w:val="00C968A7"/>
    <w:rsid w:val="00C979DC"/>
    <w:rsid w:val="00CA2EA0"/>
    <w:rsid w:val="00CA3B15"/>
    <w:rsid w:val="00CA42D1"/>
    <w:rsid w:val="00CA4DD0"/>
    <w:rsid w:val="00CB1BC0"/>
    <w:rsid w:val="00CB3814"/>
    <w:rsid w:val="00CB4923"/>
    <w:rsid w:val="00CC3289"/>
    <w:rsid w:val="00CC49D5"/>
    <w:rsid w:val="00CC5FFF"/>
    <w:rsid w:val="00CC74FD"/>
    <w:rsid w:val="00CD5FCB"/>
    <w:rsid w:val="00CD6192"/>
    <w:rsid w:val="00CF26E4"/>
    <w:rsid w:val="00CF3DB2"/>
    <w:rsid w:val="00CF5193"/>
    <w:rsid w:val="00CF5686"/>
    <w:rsid w:val="00CF5BCA"/>
    <w:rsid w:val="00D05C51"/>
    <w:rsid w:val="00D06EAA"/>
    <w:rsid w:val="00D1083C"/>
    <w:rsid w:val="00D11BD2"/>
    <w:rsid w:val="00D13A9F"/>
    <w:rsid w:val="00D14F0A"/>
    <w:rsid w:val="00D15133"/>
    <w:rsid w:val="00D20A29"/>
    <w:rsid w:val="00D2666D"/>
    <w:rsid w:val="00D32E95"/>
    <w:rsid w:val="00D3562E"/>
    <w:rsid w:val="00D4750C"/>
    <w:rsid w:val="00D503FC"/>
    <w:rsid w:val="00D622BA"/>
    <w:rsid w:val="00D66276"/>
    <w:rsid w:val="00D67A36"/>
    <w:rsid w:val="00D70B37"/>
    <w:rsid w:val="00D71A1F"/>
    <w:rsid w:val="00D73D78"/>
    <w:rsid w:val="00D76D31"/>
    <w:rsid w:val="00D82090"/>
    <w:rsid w:val="00D82CBC"/>
    <w:rsid w:val="00D85FD2"/>
    <w:rsid w:val="00D86EF0"/>
    <w:rsid w:val="00D947DC"/>
    <w:rsid w:val="00DA386E"/>
    <w:rsid w:val="00DA5CDA"/>
    <w:rsid w:val="00DA7183"/>
    <w:rsid w:val="00DA73D9"/>
    <w:rsid w:val="00DB1E74"/>
    <w:rsid w:val="00DB75DA"/>
    <w:rsid w:val="00DC0CB2"/>
    <w:rsid w:val="00DD0B96"/>
    <w:rsid w:val="00DD2927"/>
    <w:rsid w:val="00DD584F"/>
    <w:rsid w:val="00DE0B45"/>
    <w:rsid w:val="00DE15D2"/>
    <w:rsid w:val="00DE5888"/>
    <w:rsid w:val="00DE5E53"/>
    <w:rsid w:val="00DE5ED3"/>
    <w:rsid w:val="00DE5EFD"/>
    <w:rsid w:val="00DE6E2C"/>
    <w:rsid w:val="00DE7AA9"/>
    <w:rsid w:val="00DF1686"/>
    <w:rsid w:val="00DF44DD"/>
    <w:rsid w:val="00DF63CB"/>
    <w:rsid w:val="00DF7969"/>
    <w:rsid w:val="00E01AD1"/>
    <w:rsid w:val="00E02309"/>
    <w:rsid w:val="00E030FB"/>
    <w:rsid w:val="00E03F17"/>
    <w:rsid w:val="00E04A86"/>
    <w:rsid w:val="00E05D37"/>
    <w:rsid w:val="00E1138C"/>
    <w:rsid w:val="00E14D6E"/>
    <w:rsid w:val="00E23065"/>
    <w:rsid w:val="00E3145A"/>
    <w:rsid w:val="00E34D46"/>
    <w:rsid w:val="00E35209"/>
    <w:rsid w:val="00E35B1E"/>
    <w:rsid w:val="00E46652"/>
    <w:rsid w:val="00E50A74"/>
    <w:rsid w:val="00E51C14"/>
    <w:rsid w:val="00E53B34"/>
    <w:rsid w:val="00E552DB"/>
    <w:rsid w:val="00E5775C"/>
    <w:rsid w:val="00E6101A"/>
    <w:rsid w:val="00E65489"/>
    <w:rsid w:val="00E66F6D"/>
    <w:rsid w:val="00E70774"/>
    <w:rsid w:val="00E76013"/>
    <w:rsid w:val="00E81AAB"/>
    <w:rsid w:val="00E82A53"/>
    <w:rsid w:val="00E83451"/>
    <w:rsid w:val="00E87937"/>
    <w:rsid w:val="00E90674"/>
    <w:rsid w:val="00EA58EA"/>
    <w:rsid w:val="00EA6B9A"/>
    <w:rsid w:val="00EB07DA"/>
    <w:rsid w:val="00EB7499"/>
    <w:rsid w:val="00EC33A2"/>
    <w:rsid w:val="00ED01A2"/>
    <w:rsid w:val="00ED2D18"/>
    <w:rsid w:val="00ED4C23"/>
    <w:rsid w:val="00ED6647"/>
    <w:rsid w:val="00ED6C0D"/>
    <w:rsid w:val="00ED6F88"/>
    <w:rsid w:val="00ED7E41"/>
    <w:rsid w:val="00EE08D4"/>
    <w:rsid w:val="00EE6763"/>
    <w:rsid w:val="00EF0DA4"/>
    <w:rsid w:val="00EF4405"/>
    <w:rsid w:val="00EF62EA"/>
    <w:rsid w:val="00EF696B"/>
    <w:rsid w:val="00EF7DCA"/>
    <w:rsid w:val="00F0173E"/>
    <w:rsid w:val="00F02474"/>
    <w:rsid w:val="00F03CE2"/>
    <w:rsid w:val="00F04CD5"/>
    <w:rsid w:val="00F10379"/>
    <w:rsid w:val="00F1557F"/>
    <w:rsid w:val="00F20A17"/>
    <w:rsid w:val="00F21433"/>
    <w:rsid w:val="00F228B3"/>
    <w:rsid w:val="00F31574"/>
    <w:rsid w:val="00F32CF5"/>
    <w:rsid w:val="00F43175"/>
    <w:rsid w:val="00F43539"/>
    <w:rsid w:val="00F43D65"/>
    <w:rsid w:val="00F552C2"/>
    <w:rsid w:val="00F552D5"/>
    <w:rsid w:val="00F56282"/>
    <w:rsid w:val="00F57B28"/>
    <w:rsid w:val="00F619B2"/>
    <w:rsid w:val="00F721FE"/>
    <w:rsid w:val="00F7748D"/>
    <w:rsid w:val="00F77A5F"/>
    <w:rsid w:val="00F8212A"/>
    <w:rsid w:val="00F8301D"/>
    <w:rsid w:val="00F84554"/>
    <w:rsid w:val="00F85652"/>
    <w:rsid w:val="00F85A39"/>
    <w:rsid w:val="00F9010B"/>
    <w:rsid w:val="00F90D3F"/>
    <w:rsid w:val="00F93EA0"/>
    <w:rsid w:val="00F95688"/>
    <w:rsid w:val="00FA2500"/>
    <w:rsid w:val="00FA2607"/>
    <w:rsid w:val="00FB2319"/>
    <w:rsid w:val="00FB33E8"/>
    <w:rsid w:val="00FB3BFC"/>
    <w:rsid w:val="00FB3F05"/>
    <w:rsid w:val="00FB4627"/>
    <w:rsid w:val="00FB4A19"/>
    <w:rsid w:val="00FB62EF"/>
    <w:rsid w:val="00FB7319"/>
    <w:rsid w:val="00FC0D12"/>
    <w:rsid w:val="00FC1E74"/>
    <w:rsid w:val="00FC3893"/>
    <w:rsid w:val="00FC5ED4"/>
    <w:rsid w:val="00FC7651"/>
    <w:rsid w:val="00FD217A"/>
    <w:rsid w:val="00FD5163"/>
    <w:rsid w:val="00FD6615"/>
    <w:rsid w:val="00FD770E"/>
    <w:rsid w:val="00FD7FF2"/>
    <w:rsid w:val="00FE35E3"/>
    <w:rsid w:val="00FE62E1"/>
    <w:rsid w:val="00FF3BE9"/>
    <w:rsid w:val="00FF6D5B"/>
    <w:rsid w:val="0112363F"/>
    <w:rsid w:val="011E1FE4"/>
    <w:rsid w:val="01423F24"/>
    <w:rsid w:val="016F5E91"/>
    <w:rsid w:val="019B3634"/>
    <w:rsid w:val="01C73A3E"/>
    <w:rsid w:val="01C83AFC"/>
    <w:rsid w:val="01CD013D"/>
    <w:rsid w:val="020F7B7E"/>
    <w:rsid w:val="02750329"/>
    <w:rsid w:val="027D769E"/>
    <w:rsid w:val="02963DFC"/>
    <w:rsid w:val="02B46BE4"/>
    <w:rsid w:val="02C94CA9"/>
    <w:rsid w:val="02CB7F49"/>
    <w:rsid w:val="030906F7"/>
    <w:rsid w:val="031170FD"/>
    <w:rsid w:val="03127926"/>
    <w:rsid w:val="0313544C"/>
    <w:rsid w:val="032F4898"/>
    <w:rsid w:val="033124A2"/>
    <w:rsid w:val="03353615"/>
    <w:rsid w:val="03597303"/>
    <w:rsid w:val="03630182"/>
    <w:rsid w:val="03710AF1"/>
    <w:rsid w:val="037C66F7"/>
    <w:rsid w:val="038500F8"/>
    <w:rsid w:val="038F2641"/>
    <w:rsid w:val="03962305"/>
    <w:rsid w:val="03BE4A34"/>
    <w:rsid w:val="03C03826"/>
    <w:rsid w:val="03E273F4"/>
    <w:rsid w:val="03E80687"/>
    <w:rsid w:val="03FE6BEC"/>
    <w:rsid w:val="040D25C2"/>
    <w:rsid w:val="04253689"/>
    <w:rsid w:val="04497378"/>
    <w:rsid w:val="0462668B"/>
    <w:rsid w:val="04706FFA"/>
    <w:rsid w:val="047A5783"/>
    <w:rsid w:val="04B14F1D"/>
    <w:rsid w:val="04B862AB"/>
    <w:rsid w:val="04BF588C"/>
    <w:rsid w:val="04CD30A2"/>
    <w:rsid w:val="04D56E5D"/>
    <w:rsid w:val="05092D0A"/>
    <w:rsid w:val="05107E95"/>
    <w:rsid w:val="051200B1"/>
    <w:rsid w:val="052F2A11"/>
    <w:rsid w:val="053A1C31"/>
    <w:rsid w:val="056106F1"/>
    <w:rsid w:val="05635781"/>
    <w:rsid w:val="05656636"/>
    <w:rsid w:val="05740424"/>
    <w:rsid w:val="059B1E55"/>
    <w:rsid w:val="05B747B5"/>
    <w:rsid w:val="05EF03F3"/>
    <w:rsid w:val="060379FA"/>
    <w:rsid w:val="060F2843"/>
    <w:rsid w:val="06620BC5"/>
    <w:rsid w:val="066E30C6"/>
    <w:rsid w:val="06897852"/>
    <w:rsid w:val="06B86FA0"/>
    <w:rsid w:val="06DD024B"/>
    <w:rsid w:val="06DD649D"/>
    <w:rsid w:val="06EC66E0"/>
    <w:rsid w:val="072F4F4B"/>
    <w:rsid w:val="073836D3"/>
    <w:rsid w:val="073C7668"/>
    <w:rsid w:val="074B3407"/>
    <w:rsid w:val="075E313A"/>
    <w:rsid w:val="0764271A"/>
    <w:rsid w:val="07AF3996"/>
    <w:rsid w:val="07DF3FA4"/>
    <w:rsid w:val="07E121CF"/>
    <w:rsid w:val="07ED44BE"/>
    <w:rsid w:val="0837398B"/>
    <w:rsid w:val="0845254C"/>
    <w:rsid w:val="086504F8"/>
    <w:rsid w:val="088E3EF3"/>
    <w:rsid w:val="089332B7"/>
    <w:rsid w:val="08B60D54"/>
    <w:rsid w:val="08C01BD2"/>
    <w:rsid w:val="08F301FA"/>
    <w:rsid w:val="08F33D56"/>
    <w:rsid w:val="08FD4BD5"/>
    <w:rsid w:val="092E4D8E"/>
    <w:rsid w:val="09414AC1"/>
    <w:rsid w:val="094172E4"/>
    <w:rsid w:val="09542264"/>
    <w:rsid w:val="0955056D"/>
    <w:rsid w:val="09620543"/>
    <w:rsid w:val="096D3B08"/>
    <w:rsid w:val="098A46BA"/>
    <w:rsid w:val="09AD03A9"/>
    <w:rsid w:val="09BE5834"/>
    <w:rsid w:val="09F00295"/>
    <w:rsid w:val="09FC2912"/>
    <w:rsid w:val="0A222B45"/>
    <w:rsid w:val="0A867D70"/>
    <w:rsid w:val="0A891865"/>
    <w:rsid w:val="0AA7304A"/>
    <w:rsid w:val="0AB37C41"/>
    <w:rsid w:val="0ACC485F"/>
    <w:rsid w:val="0ACF434F"/>
    <w:rsid w:val="0AFB3396"/>
    <w:rsid w:val="0B022976"/>
    <w:rsid w:val="0B116715"/>
    <w:rsid w:val="0B1D41C8"/>
    <w:rsid w:val="0B522E11"/>
    <w:rsid w:val="0B745622"/>
    <w:rsid w:val="0B7849E6"/>
    <w:rsid w:val="0B91608F"/>
    <w:rsid w:val="0B972584"/>
    <w:rsid w:val="0BAD643E"/>
    <w:rsid w:val="0BC82066"/>
    <w:rsid w:val="0BD87233"/>
    <w:rsid w:val="0BEA58E4"/>
    <w:rsid w:val="0C0C54F2"/>
    <w:rsid w:val="0C122745"/>
    <w:rsid w:val="0C662A91"/>
    <w:rsid w:val="0C6F5DE9"/>
    <w:rsid w:val="0C807FF6"/>
    <w:rsid w:val="0C994C14"/>
    <w:rsid w:val="0C9B6BDE"/>
    <w:rsid w:val="0CD619C5"/>
    <w:rsid w:val="0CEF0CD8"/>
    <w:rsid w:val="0D0E12E6"/>
    <w:rsid w:val="0D4526FA"/>
    <w:rsid w:val="0D7C6A10"/>
    <w:rsid w:val="0DC8141A"/>
    <w:rsid w:val="0DD95C10"/>
    <w:rsid w:val="0E1327A4"/>
    <w:rsid w:val="0E1529C0"/>
    <w:rsid w:val="0E6B25E0"/>
    <w:rsid w:val="0E750131"/>
    <w:rsid w:val="0E8D0B30"/>
    <w:rsid w:val="0EA855E3"/>
    <w:rsid w:val="0EC72CAF"/>
    <w:rsid w:val="0EC928E0"/>
    <w:rsid w:val="0ECC12D1"/>
    <w:rsid w:val="0EE303C9"/>
    <w:rsid w:val="0F3006C4"/>
    <w:rsid w:val="0F3F1AA3"/>
    <w:rsid w:val="0F44355D"/>
    <w:rsid w:val="0F5226CD"/>
    <w:rsid w:val="0F6E74E4"/>
    <w:rsid w:val="0F720E28"/>
    <w:rsid w:val="0F803E6A"/>
    <w:rsid w:val="0F9D2C6D"/>
    <w:rsid w:val="0F9F0794"/>
    <w:rsid w:val="0FBD6960"/>
    <w:rsid w:val="0FD3043D"/>
    <w:rsid w:val="0FE54FEE"/>
    <w:rsid w:val="0FFA6EBC"/>
    <w:rsid w:val="101A42BE"/>
    <w:rsid w:val="10B35ED6"/>
    <w:rsid w:val="10B40F54"/>
    <w:rsid w:val="10D25C79"/>
    <w:rsid w:val="10D73F5D"/>
    <w:rsid w:val="10DD77C5"/>
    <w:rsid w:val="10FC5772"/>
    <w:rsid w:val="111B6540"/>
    <w:rsid w:val="114A0034"/>
    <w:rsid w:val="114A472F"/>
    <w:rsid w:val="11531836"/>
    <w:rsid w:val="115B69A6"/>
    <w:rsid w:val="1178129C"/>
    <w:rsid w:val="118C0355"/>
    <w:rsid w:val="118F7713"/>
    <w:rsid w:val="11AC0F46"/>
    <w:rsid w:val="11AE1162"/>
    <w:rsid w:val="11C144DF"/>
    <w:rsid w:val="11C269BB"/>
    <w:rsid w:val="11C42319"/>
    <w:rsid w:val="11F12DFD"/>
    <w:rsid w:val="12007064"/>
    <w:rsid w:val="1218482D"/>
    <w:rsid w:val="121A67F7"/>
    <w:rsid w:val="122A6E01"/>
    <w:rsid w:val="1232769D"/>
    <w:rsid w:val="12711B8A"/>
    <w:rsid w:val="12A32349"/>
    <w:rsid w:val="12B97DBE"/>
    <w:rsid w:val="130F36EB"/>
    <w:rsid w:val="132A0CBC"/>
    <w:rsid w:val="132E4886"/>
    <w:rsid w:val="137242F9"/>
    <w:rsid w:val="137C1F91"/>
    <w:rsid w:val="13A24CF6"/>
    <w:rsid w:val="13C46A1B"/>
    <w:rsid w:val="13C7475D"/>
    <w:rsid w:val="13D12EE6"/>
    <w:rsid w:val="13DF7D73"/>
    <w:rsid w:val="13E23345"/>
    <w:rsid w:val="14180B15"/>
    <w:rsid w:val="145D5484"/>
    <w:rsid w:val="146B333A"/>
    <w:rsid w:val="14861F22"/>
    <w:rsid w:val="14926B19"/>
    <w:rsid w:val="149878B8"/>
    <w:rsid w:val="14A63BCF"/>
    <w:rsid w:val="14AC4A43"/>
    <w:rsid w:val="14B473EF"/>
    <w:rsid w:val="14DD6D72"/>
    <w:rsid w:val="14FC21E4"/>
    <w:rsid w:val="151057C1"/>
    <w:rsid w:val="1517701E"/>
    <w:rsid w:val="152139F9"/>
    <w:rsid w:val="15350666"/>
    <w:rsid w:val="155E4C4D"/>
    <w:rsid w:val="16020E07"/>
    <w:rsid w:val="160752E5"/>
    <w:rsid w:val="161D68B6"/>
    <w:rsid w:val="162F0586"/>
    <w:rsid w:val="164976AB"/>
    <w:rsid w:val="164E6A70"/>
    <w:rsid w:val="16504596"/>
    <w:rsid w:val="16541A41"/>
    <w:rsid w:val="16844748"/>
    <w:rsid w:val="168D57EA"/>
    <w:rsid w:val="168E50BE"/>
    <w:rsid w:val="16A071E2"/>
    <w:rsid w:val="16A14DF1"/>
    <w:rsid w:val="16A325B1"/>
    <w:rsid w:val="16B95569"/>
    <w:rsid w:val="16E340AB"/>
    <w:rsid w:val="17215F32"/>
    <w:rsid w:val="17280B08"/>
    <w:rsid w:val="17343EB7"/>
    <w:rsid w:val="175F37AD"/>
    <w:rsid w:val="1767428D"/>
    <w:rsid w:val="17712A16"/>
    <w:rsid w:val="179901BE"/>
    <w:rsid w:val="17C66F08"/>
    <w:rsid w:val="17CF3BE0"/>
    <w:rsid w:val="17D01310"/>
    <w:rsid w:val="17DB4333"/>
    <w:rsid w:val="18721A6F"/>
    <w:rsid w:val="18786026"/>
    <w:rsid w:val="187F73B4"/>
    <w:rsid w:val="18C348DD"/>
    <w:rsid w:val="18D55226"/>
    <w:rsid w:val="19061883"/>
    <w:rsid w:val="191E4E1F"/>
    <w:rsid w:val="19257F5C"/>
    <w:rsid w:val="19314B52"/>
    <w:rsid w:val="199012B1"/>
    <w:rsid w:val="19933FE3"/>
    <w:rsid w:val="199A0735"/>
    <w:rsid w:val="19B906A4"/>
    <w:rsid w:val="19D13E85"/>
    <w:rsid w:val="19D61256"/>
    <w:rsid w:val="1A1E68EB"/>
    <w:rsid w:val="1A240213"/>
    <w:rsid w:val="1A604FC3"/>
    <w:rsid w:val="1A66082C"/>
    <w:rsid w:val="1A7016AA"/>
    <w:rsid w:val="1A7D50B4"/>
    <w:rsid w:val="1A8812F8"/>
    <w:rsid w:val="1B0342CC"/>
    <w:rsid w:val="1B07272A"/>
    <w:rsid w:val="1B266C85"/>
    <w:rsid w:val="1B293607"/>
    <w:rsid w:val="1B2F4432"/>
    <w:rsid w:val="1B3426D8"/>
    <w:rsid w:val="1B8151F1"/>
    <w:rsid w:val="1BF73705"/>
    <w:rsid w:val="1C093B64"/>
    <w:rsid w:val="1C1222ED"/>
    <w:rsid w:val="1C5B5A42"/>
    <w:rsid w:val="1C8D367F"/>
    <w:rsid w:val="1CA23671"/>
    <w:rsid w:val="1CD75A11"/>
    <w:rsid w:val="1CED47A0"/>
    <w:rsid w:val="1CF44D20"/>
    <w:rsid w:val="1D214EDE"/>
    <w:rsid w:val="1D392227"/>
    <w:rsid w:val="1D8334A3"/>
    <w:rsid w:val="1D882867"/>
    <w:rsid w:val="1D8A73FC"/>
    <w:rsid w:val="1D951428"/>
    <w:rsid w:val="1DA767F2"/>
    <w:rsid w:val="1DB93368"/>
    <w:rsid w:val="1E002D45"/>
    <w:rsid w:val="1E714B4E"/>
    <w:rsid w:val="1E7A3FAC"/>
    <w:rsid w:val="1ED02718"/>
    <w:rsid w:val="1EF97FE8"/>
    <w:rsid w:val="1F2060F1"/>
    <w:rsid w:val="1F3233D2"/>
    <w:rsid w:val="1F7E92A5"/>
    <w:rsid w:val="1FDFC8BB"/>
    <w:rsid w:val="1FE521F3"/>
    <w:rsid w:val="1FFC12EA"/>
    <w:rsid w:val="203245AE"/>
    <w:rsid w:val="209E23A2"/>
    <w:rsid w:val="20C04A0E"/>
    <w:rsid w:val="20EA55E7"/>
    <w:rsid w:val="20FF1092"/>
    <w:rsid w:val="2165647F"/>
    <w:rsid w:val="21774099"/>
    <w:rsid w:val="217F5A43"/>
    <w:rsid w:val="21817CF9"/>
    <w:rsid w:val="219A0323"/>
    <w:rsid w:val="21BA0AC2"/>
    <w:rsid w:val="21BE719F"/>
    <w:rsid w:val="21D50144"/>
    <w:rsid w:val="21F26E49"/>
    <w:rsid w:val="21FE134A"/>
    <w:rsid w:val="220A23E4"/>
    <w:rsid w:val="2231242F"/>
    <w:rsid w:val="226C4308"/>
    <w:rsid w:val="228A7081"/>
    <w:rsid w:val="22E02913"/>
    <w:rsid w:val="23196A09"/>
    <w:rsid w:val="234105FC"/>
    <w:rsid w:val="23426012"/>
    <w:rsid w:val="23521B23"/>
    <w:rsid w:val="23643F48"/>
    <w:rsid w:val="23694EE9"/>
    <w:rsid w:val="23B239A9"/>
    <w:rsid w:val="23B74560"/>
    <w:rsid w:val="23ED1676"/>
    <w:rsid w:val="24062738"/>
    <w:rsid w:val="241237D2"/>
    <w:rsid w:val="24134E54"/>
    <w:rsid w:val="242B4894"/>
    <w:rsid w:val="243454F7"/>
    <w:rsid w:val="24603FB7"/>
    <w:rsid w:val="24635DDC"/>
    <w:rsid w:val="24AA7567"/>
    <w:rsid w:val="24ED56A6"/>
    <w:rsid w:val="24F51D51"/>
    <w:rsid w:val="251F61A7"/>
    <w:rsid w:val="252C4420"/>
    <w:rsid w:val="25344B7B"/>
    <w:rsid w:val="25473008"/>
    <w:rsid w:val="25535E50"/>
    <w:rsid w:val="25761B3F"/>
    <w:rsid w:val="25C66622"/>
    <w:rsid w:val="25C718A8"/>
    <w:rsid w:val="25E35426"/>
    <w:rsid w:val="25F34F3E"/>
    <w:rsid w:val="2609650F"/>
    <w:rsid w:val="2619339E"/>
    <w:rsid w:val="2628108B"/>
    <w:rsid w:val="26307F40"/>
    <w:rsid w:val="26323CB8"/>
    <w:rsid w:val="26415CA9"/>
    <w:rsid w:val="26487037"/>
    <w:rsid w:val="267C4F33"/>
    <w:rsid w:val="26911DC8"/>
    <w:rsid w:val="26926505"/>
    <w:rsid w:val="2694227D"/>
    <w:rsid w:val="269A360B"/>
    <w:rsid w:val="26FC9471"/>
    <w:rsid w:val="27005B64"/>
    <w:rsid w:val="270A0791"/>
    <w:rsid w:val="271D6366"/>
    <w:rsid w:val="27247AA4"/>
    <w:rsid w:val="2729330D"/>
    <w:rsid w:val="27932534"/>
    <w:rsid w:val="279462AC"/>
    <w:rsid w:val="27960276"/>
    <w:rsid w:val="279B07AE"/>
    <w:rsid w:val="27BF3329"/>
    <w:rsid w:val="27CE17BE"/>
    <w:rsid w:val="27CF7258"/>
    <w:rsid w:val="28033B5E"/>
    <w:rsid w:val="282B6C11"/>
    <w:rsid w:val="283C7070"/>
    <w:rsid w:val="28610884"/>
    <w:rsid w:val="2874750B"/>
    <w:rsid w:val="2898647B"/>
    <w:rsid w:val="28A013AD"/>
    <w:rsid w:val="28AF15F0"/>
    <w:rsid w:val="28CF3A40"/>
    <w:rsid w:val="28D64DCE"/>
    <w:rsid w:val="28F96C0D"/>
    <w:rsid w:val="2939710B"/>
    <w:rsid w:val="294206B6"/>
    <w:rsid w:val="294F2DD3"/>
    <w:rsid w:val="294F4B81"/>
    <w:rsid w:val="29C0088B"/>
    <w:rsid w:val="29C67916"/>
    <w:rsid w:val="29DA08EE"/>
    <w:rsid w:val="29EC6874"/>
    <w:rsid w:val="2A043705"/>
    <w:rsid w:val="2A110088"/>
    <w:rsid w:val="2A273408"/>
    <w:rsid w:val="2A30050E"/>
    <w:rsid w:val="2A375D41"/>
    <w:rsid w:val="2A3C5105"/>
    <w:rsid w:val="2A5E151F"/>
    <w:rsid w:val="2A685EFA"/>
    <w:rsid w:val="2A704E6A"/>
    <w:rsid w:val="2A842608"/>
    <w:rsid w:val="2AD0584D"/>
    <w:rsid w:val="2AE13EFE"/>
    <w:rsid w:val="2AE35581"/>
    <w:rsid w:val="2AFC6642"/>
    <w:rsid w:val="2B083239"/>
    <w:rsid w:val="2B476626"/>
    <w:rsid w:val="2B4A1AA4"/>
    <w:rsid w:val="2BA56CDA"/>
    <w:rsid w:val="2BA94A1C"/>
    <w:rsid w:val="2BB1742D"/>
    <w:rsid w:val="2BB62C95"/>
    <w:rsid w:val="2BB94533"/>
    <w:rsid w:val="2BC2163A"/>
    <w:rsid w:val="2BE07D12"/>
    <w:rsid w:val="2BF437BD"/>
    <w:rsid w:val="2BF832AE"/>
    <w:rsid w:val="2C273B93"/>
    <w:rsid w:val="2C752B50"/>
    <w:rsid w:val="2C92725E"/>
    <w:rsid w:val="2CB43679"/>
    <w:rsid w:val="2CBF3DCB"/>
    <w:rsid w:val="2CDE24A4"/>
    <w:rsid w:val="2D0B7011"/>
    <w:rsid w:val="2D216392"/>
    <w:rsid w:val="2D3F2197"/>
    <w:rsid w:val="2D5C161A"/>
    <w:rsid w:val="2DD613CD"/>
    <w:rsid w:val="2DDD6BFF"/>
    <w:rsid w:val="2DE75388"/>
    <w:rsid w:val="2DF950BB"/>
    <w:rsid w:val="2E127A7B"/>
    <w:rsid w:val="2E4A74E1"/>
    <w:rsid w:val="2E516F47"/>
    <w:rsid w:val="2E642E96"/>
    <w:rsid w:val="2E8250B1"/>
    <w:rsid w:val="2E86771A"/>
    <w:rsid w:val="2E9279E9"/>
    <w:rsid w:val="2E954DE4"/>
    <w:rsid w:val="2E9A064C"/>
    <w:rsid w:val="2E9A5D03"/>
    <w:rsid w:val="2EB01C1E"/>
    <w:rsid w:val="2ECE479A"/>
    <w:rsid w:val="2EE87609"/>
    <w:rsid w:val="2F452CAE"/>
    <w:rsid w:val="2F6BD2D8"/>
    <w:rsid w:val="2F7A09CE"/>
    <w:rsid w:val="2FA379D4"/>
    <w:rsid w:val="2FBA0848"/>
    <w:rsid w:val="301B57BD"/>
    <w:rsid w:val="30314FE0"/>
    <w:rsid w:val="3035777F"/>
    <w:rsid w:val="303C4F85"/>
    <w:rsid w:val="30406FD1"/>
    <w:rsid w:val="3049232A"/>
    <w:rsid w:val="307D1FD3"/>
    <w:rsid w:val="30CC4D09"/>
    <w:rsid w:val="30F304E8"/>
    <w:rsid w:val="30FF5027"/>
    <w:rsid w:val="310224D9"/>
    <w:rsid w:val="3103697D"/>
    <w:rsid w:val="31046251"/>
    <w:rsid w:val="312608BD"/>
    <w:rsid w:val="31271F3F"/>
    <w:rsid w:val="312A519C"/>
    <w:rsid w:val="315E1E05"/>
    <w:rsid w:val="31615451"/>
    <w:rsid w:val="316D2048"/>
    <w:rsid w:val="3195334D"/>
    <w:rsid w:val="31B163D9"/>
    <w:rsid w:val="31BA0E90"/>
    <w:rsid w:val="31BB0FF2"/>
    <w:rsid w:val="31CB0D8A"/>
    <w:rsid w:val="31D10829"/>
    <w:rsid w:val="320C1861"/>
    <w:rsid w:val="32562ADC"/>
    <w:rsid w:val="32766624"/>
    <w:rsid w:val="32780CA4"/>
    <w:rsid w:val="327A2617"/>
    <w:rsid w:val="327D450D"/>
    <w:rsid w:val="327F733E"/>
    <w:rsid w:val="32870EE7"/>
    <w:rsid w:val="32892EB1"/>
    <w:rsid w:val="32A96E69"/>
    <w:rsid w:val="32D14858"/>
    <w:rsid w:val="32F72511"/>
    <w:rsid w:val="3330332D"/>
    <w:rsid w:val="333170A5"/>
    <w:rsid w:val="33380434"/>
    <w:rsid w:val="33501C21"/>
    <w:rsid w:val="33A930DF"/>
    <w:rsid w:val="33EEC6F3"/>
    <w:rsid w:val="33F86BC5"/>
    <w:rsid w:val="33FFE706"/>
    <w:rsid w:val="341B3F79"/>
    <w:rsid w:val="34362BC5"/>
    <w:rsid w:val="344A60F0"/>
    <w:rsid w:val="345E3ECA"/>
    <w:rsid w:val="34681276"/>
    <w:rsid w:val="34943D90"/>
    <w:rsid w:val="349D49F2"/>
    <w:rsid w:val="34B61F58"/>
    <w:rsid w:val="34B87A7E"/>
    <w:rsid w:val="34E97C37"/>
    <w:rsid w:val="34FA62E8"/>
    <w:rsid w:val="354959FC"/>
    <w:rsid w:val="35502895"/>
    <w:rsid w:val="35647C06"/>
    <w:rsid w:val="35EF77CD"/>
    <w:rsid w:val="35F965A0"/>
    <w:rsid w:val="360A60B7"/>
    <w:rsid w:val="362A0508"/>
    <w:rsid w:val="364610BA"/>
    <w:rsid w:val="364C4922"/>
    <w:rsid w:val="36767BF1"/>
    <w:rsid w:val="36E0506A"/>
    <w:rsid w:val="37040D59"/>
    <w:rsid w:val="3720190B"/>
    <w:rsid w:val="3736112E"/>
    <w:rsid w:val="37410AC9"/>
    <w:rsid w:val="37492C0F"/>
    <w:rsid w:val="375F2433"/>
    <w:rsid w:val="37772B57"/>
    <w:rsid w:val="378B147A"/>
    <w:rsid w:val="37922808"/>
    <w:rsid w:val="37976071"/>
    <w:rsid w:val="37A5642A"/>
    <w:rsid w:val="37C114F9"/>
    <w:rsid w:val="37CA3FBA"/>
    <w:rsid w:val="37D27BE0"/>
    <w:rsid w:val="37D5272F"/>
    <w:rsid w:val="37D82154"/>
    <w:rsid w:val="37FC7CA8"/>
    <w:rsid w:val="37FE485C"/>
    <w:rsid w:val="381E409C"/>
    <w:rsid w:val="38325D99"/>
    <w:rsid w:val="384F06F9"/>
    <w:rsid w:val="38743CBC"/>
    <w:rsid w:val="38763ED8"/>
    <w:rsid w:val="387C0DC3"/>
    <w:rsid w:val="3891486E"/>
    <w:rsid w:val="38B62526"/>
    <w:rsid w:val="38C56C0D"/>
    <w:rsid w:val="38D01754"/>
    <w:rsid w:val="38FA68B7"/>
    <w:rsid w:val="3900333E"/>
    <w:rsid w:val="39100304"/>
    <w:rsid w:val="3950139E"/>
    <w:rsid w:val="395B30CE"/>
    <w:rsid w:val="397DA096"/>
    <w:rsid w:val="39C113DD"/>
    <w:rsid w:val="39CE1AF2"/>
    <w:rsid w:val="39DA0497"/>
    <w:rsid w:val="3A1EF06E"/>
    <w:rsid w:val="3A272D2D"/>
    <w:rsid w:val="3A406459"/>
    <w:rsid w:val="3A6F5083"/>
    <w:rsid w:val="3A773F37"/>
    <w:rsid w:val="3A853BDF"/>
    <w:rsid w:val="3B005CDB"/>
    <w:rsid w:val="3B3836C7"/>
    <w:rsid w:val="3B732951"/>
    <w:rsid w:val="3B8732EB"/>
    <w:rsid w:val="3B9A58FC"/>
    <w:rsid w:val="3BC70FD9"/>
    <w:rsid w:val="3BE63123"/>
    <w:rsid w:val="3BF64D1C"/>
    <w:rsid w:val="3BF70E8C"/>
    <w:rsid w:val="3BFEC4CE"/>
    <w:rsid w:val="3BFF5085"/>
    <w:rsid w:val="3C101F4E"/>
    <w:rsid w:val="3C2679C3"/>
    <w:rsid w:val="3C335C3C"/>
    <w:rsid w:val="3C346EC6"/>
    <w:rsid w:val="3C5938F5"/>
    <w:rsid w:val="3C7544A7"/>
    <w:rsid w:val="3CA8487C"/>
    <w:rsid w:val="3CA950BB"/>
    <w:rsid w:val="3CAA01B6"/>
    <w:rsid w:val="3D106945"/>
    <w:rsid w:val="3D4F4CF8"/>
    <w:rsid w:val="3D5333CC"/>
    <w:rsid w:val="3D687B67"/>
    <w:rsid w:val="3D6A4C51"/>
    <w:rsid w:val="3D7604D6"/>
    <w:rsid w:val="3D7F382F"/>
    <w:rsid w:val="3D9646DA"/>
    <w:rsid w:val="3DCE0312"/>
    <w:rsid w:val="3DE10046"/>
    <w:rsid w:val="3DE47B36"/>
    <w:rsid w:val="3E241CE0"/>
    <w:rsid w:val="3E454D62"/>
    <w:rsid w:val="3E6040C5"/>
    <w:rsid w:val="3E646581"/>
    <w:rsid w:val="3E703177"/>
    <w:rsid w:val="3E703570"/>
    <w:rsid w:val="3E704F26"/>
    <w:rsid w:val="3E764C5A"/>
    <w:rsid w:val="3E803D93"/>
    <w:rsid w:val="3EBB0897"/>
    <w:rsid w:val="3EE651E8"/>
    <w:rsid w:val="3EE7A642"/>
    <w:rsid w:val="3EFE65B6"/>
    <w:rsid w:val="3F23643C"/>
    <w:rsid w:val="3F5126D1"/>
    <w:rsid w:val="3F5465F5"/>
    <w:rsid w:val="3F5E56C6"/>
    <w:rsid w:val="3F6031EC"/>
    <w:rsid w:val="3F636838"/>
    <w:rsid w:val="3F6B70E0"/>
    <w:rsid w:val="3F772ED1"/>
    <w:rsid w:val="3F77F826"/>
    <w:rsid w:val="3FB05F21"/>
    <w:rsid w:val="3FB7DE2D"/>
    <w:rsid w:val="3FBE2799"/>
    <w:rsid w:val="3FD339BE"/>
    <w:rsid w:val="3FE8338C"/>
    <w:rsid w:val="3FE9BE09"/>
    <w:rsid w:val="3FEA600F"/>
    <w:rsid w:val="3FF74E51"/>
    <w:rsid w:val="3FFD80A8"/>
    <w:rsid w:val="3FFF240F"/>
    <w:rsid w:val="3FFFF1A1"/>
    <w:rsid w:val="4024246B"/>
    <w:rsid w:val="40275AB8"/>
    <w:rsid w:val="40624EF6"/>
    <w:rsid w:val="40672358"/>
    <w:rsid w:val="40925627"/>
    <w:rsid w:val="40990D8E"/>
    <w:rsid w:val="40A35A86"/>
    <w:rsid w:val="40F462E2"/>
    <w:rsid w:val="4110479E"/>
    <w:rsid w:val="41265D6F"/>
    <w:rsid w:val="41410DFB"/>
    <w:rsid w:val="418331C2"/>
    <w:rsid w:val="41874A60"/>
    <w:rsid w:val="4194717D"/>
    <w:rsid w:val="419929E5"/>
    <w:rsid w:val="41B33AA7"/>
    <w:rsid w:val="41B810BD"/>
    <w:rsid w:val="41D63C39"/>
    <w:rsid w:val="41F45E6E"/>
    <w:rsid w:val="41FD4D22"/>
    <w:rsid w:val="422C43EB"/>
    <w:rsid w:val="42786A9F"/>
    <w:rsid w:val="4289397B"/>
    <w:rsid w:val="429C453B"/>
    <w:rsid w:val="42BF5C91"/>
    <w:rsid w:val="42DF267A"/>
    <w:rsid w:val="42E3660E"/>
    <w:rsid w:val="42ED700B"/>
    <w:rsid w:val="435C45F2"/>
    <w:rsid w:val="436E4E9A"/>
    <w:rsid w:val="437FD796"/>
    <w:rsid w:val="43830C23"/>
    <w:rsid w:val="43A0122C"/>
    <w:rsid w:val="43A12E71"/>
    <w:rsid w:val="43B41D58"/>
    <w:rsid w:val="43B458B4"/>
    <w:rsid w:val="43B6787E"/>
    <w:rsid w:val="43B679AC"/>
    <w:rsid w:val="43C53F65"/>
    <w:rsid w:val="441647C1"/>
    <w:rsid w:val="44185E43"/>
    <w:rsid w:val="4427531C"/>
    <w:rsid w:val="44511355"/>
    <w:rsid w:val="44685561"/>
    <w:rsid w:val="44801C3A"/>
    <w:rsid w:val="44901E7E"/>
    <w:rsid w:val="44BA15F0"/>
    <w:rsid w:val="44F36213"/>
    <w:rsid w:val="44FF7EF8"/>
    <w:rsid w:val="45221F1D"/>
    <w:rsid w:val="45313643"/>
    <w:rsid w:val="454722BC"/>
    <w:rsid w:val="4568104C"/>
    <w:rsid w:val="457E43CC"/>
    <w:rsid w:val="4595698C"/>
    <w:rsid w:val="45A8769B"/>
    <w:rsid w:val="45B778DE"/>
    <w:rsid w:val="45B77FA3"/>
    <w:rsid w:val="45D42913"/>
    <w:rsid w:val="45E22BAD"/>
    <w:rsid w:val="45E76DCC"/>
    <w:rsid w:val="4607616F"/>
    <w:rsid w:val="461557FF"/>
    <w:rsid w:val="46222FA9"/>
    <w:rsid w:val="462A71CD"/>
    <w:rsid w:val="46340F2E"/>
    <w:rsid w:val="46496788"/>
    <w:rsid w:val="46530B47"/>
    <w:rsid w:val="465A5FD0"/>
    <w:rsid w:val="466A1D0A"/>
    <w:rsid w:val="4674757D"/>
    <w:rsid w:val="46761547"/>
    <w:rsid w:val="46902609"/>
    <w:rsid w:val="469A5235"/>
    <w:rsid w:val="469F45FA"/>
    <w:rsid w:val="46AB7443"/>
    <w:rsid w:val="46BA4348"/>
    <w:rsid w:val="46C73D8B"/>
    <w:rsid w:val="46DC75FC"/>
    <w:rsid w:val="471C3E9C"/>
    <w:rsid w:val="472965B9"/>
    <w:rsid w:val="473C62ED"/>
    <w:rsid w:val="47413903"/>
    <w:rsid w:val="4760368F"/>
    <w:rsid w:val="476870E2"/>
    <w:rsid w:val="477554F4"/>
    <w:rsid w:val="47975C19"/>
    <w:rsid w:val="4799729B"/>
    <w:rsid w:val="47D06A35"/>
    <w:rsid w:val="484336AB"/>
    <w:rsid w:val="48733DC4"/>
    <w:rsid w:val="488C32A4"/>
    <w:rsid w:val="48EA5107"/>
    <w:rsid w:val="48EC1276"/>
    <w:rsid w:val="48F81CE4"/>
    <w:rsid w:val="490A2087"/>
    <w:rsid w:val="491D5CAA"/>
    <w:rsid w:val="491F1A22"/>
    <w:rsid w:val="49373210"/>
    <w:rsid w:val="495876ED"/>
    <w:rsid w:val="497A30FC"/>
    <w:rsid w:val="497C0C22"/>
    <w:rsid w:val="49AE2DA6"/>
    <w:rsid w:val="49EC224C"/>
    <w:rsid w:val="49F5026D"/>
    <w:rsid w:val="49F62732"/>
    <w:rsid w:val="49FE4767"/>
    <w:rsid w:val="4A1936D4"/>
    <w:rsid w:val="4A301A88"/>
    <w:rsid w:val="4A7DD769"/>
    <w:rsid w:val="4A7F06DB"/>
    <w:rsid w:val="4AAA5C63"/>
    <w:rsid w:val="4AFA62A3"/>
    <w:rsid w:val="4B105AC6"/>
    <w:rsid w:val="4B19154C"/>
    <w:rsid w:val="4B1F1A2C"/>
    <w:rsid w:val="4B2257F9"/>
    <w:rsid w:val="4B2B0B52"/>
    <w:rsid w:val="4B7679CC"/>
    <w:rsid w:val="4BC30D8B"/>
    <w:rsid w:val="4BDA60D4"/>
    <w:rsid w:val="4BE81B26"/>
    <w:rsid w:val="4BEA4569"/>
    <w:rsid w:val="4C0F319F"/>
    <w:rsid w:val="4C2832E3"/>
    <w:rsid w:val="4C447326"/>
    <w:rsid w:val="4C673E0C"/>
    <w:rsid w:val="4C787DC7"/>
    <w:rsid w:val="4CC64F56"/>
    <w:rsid w:val="4D3857A8"/>
    <w:rsid w:val="4D44414D"/>
    <w:rsid w:val="4D5679DC"/>
    <w:rsid w:val="4D5A3970"/>
    <w:rsid w:val="4DB0088C"/>
    <w:rsid w:val="4E090CC8"/>
    <w:rsid w:val="4E1C6E78"/>
    <w:rsid w:val="4E22729D"/>
    <w:rsid w:val="4E2B70BB"/>
    <w:rsid w:val="4E2D7202"/>
    <w:rsid w:val="4E686795"/>
    <w:rsid w:val="4E6879C7"/>
    <w:rsid w:val="4E8839D9"/>
    <w:rsid w:val="4E8D38D2"/>
    <w:rsid w:val="4E984750"/>
    <w:rsid w:val="4E9C3B15"/>
    <w:rsid w:val="4ED11A10"/>
    <w:rsid w:val="4ED92673"/>
    <w:rsid w:val="4EF8269B"/>
    <w:rsid w:val="4EFD9D49"/>
    <w:rsid w:val="4F1F09CE"/>
    <w:rsid w:val="4F7D56F4"/>
    <w:rsid w:val="4F8C3B89"/>
    <w:rsid w:val="4FBD3D43"/>
    <w:rsid w:val="4FFF8B59"/>
    <w:rsid w:val="50030279"/>
    <w:rsid w:val="500951DA"/>
    <w:rsid w:val="50517E3B"/>
    <w:rsid w:val="50531F6F"/>
    <w:rsid w:val="505E5526"/>
    <w:rsid w:val="50716ECB"/>
    <w:rsid w:val="509946DA"/>
    <w:rsid w:val="50C80BF1"/>
    <w:rsid w:val="512978E2"/>
    <w:rsid w:val="512C2F2E"/>
    <w:rsid w:val="515C39DF"/>
    <w:rsid w:val="51644DBE"/>
    <w:rsid w:val="518351FF"/>
    <w:rsid w:val="51B7313F"/>
    <w:rsid w:val="51D84E64"/>
    <w:rsid w:val="525941F7"/>
    <w:rsid w:val="52657621"/>
    <w:rsid w:val="52AB07CA"/>
    <w:rsid w:val="52D66374"/>
    <w:rsid w:val="52E5041A"/>
    <w:rsid w:val="52E837CD"/>
    <w:rsid w:val="53083527"/>
    <w:rsid w:val="531F5090"/>
    <w:rsid w:val="5349426B"/>
    <w:rsid w:val="539B0AC5"/>
    <w:rsid w:val="53BA0CC5"/>
    <w:rsid w:val="53BB4A3D"/>
    <w:rsid w:val="53BD3EDC"/>
    <w:rsid w:val="53C51418"/>
    <w:rsid w:val="54244390"/>
    <w:rsid w:val="54501629"/>
    <w:rsid w:val="54752E3E"/>
    <w:rsid w:val="54D47B64"/>
    <w:rsid w:val="54E72244"/>
    <w:rsid w:val="54F72159"/>
    <w:rsid w:val="550854EC"/>
    <w:rsid w:val="550A7A2A"/>
    <w:rsid w:val="552A59D6"/>
    <w:rsid w:val="55366A71"/>
    <w:rsid w:val="55432F3C"/>
    <w:rsid w:val="556F4202"/>
    <w:rsid w:val="557E7FC2"/>
    <w:rsid w:val="55A257C2"/>
    <w:rsid w:val="55BB2AD2"/>
    <w:rsid w:val="55CC2F32"/>
    <w:rsid w:val="55EA4ECA"/>
    <w:rsid w:val="56004989"/>
    <w:rsid w:val="56026953"/>
    <w:rsid w:val="56075D18"/>
    <w:rsid w:val="562DA8E5"/>
    <w:rsid w:val="562E14F6"/>
    <w:rsid w:val="563C00B7"/>
    <w:rsid w:val="56494582"/>
    <w:rsid w:val="568355EF"/>
    <w:rsid w:val="56A77795"/>
    <w:rsid w:val="56AE2637"/>
    <w:rsid w:val="56B57E6A"/>
    <w:rsid w:val="56BC6214"/>
    <w:rsid w:val="56C87B9D"/>
    <w:rsid w:val="56E54B44"/>
    <w:rsid w:val="571681FB"/>
    <w:rsid w:val="572E3B80"/>
    <w:rsid w:val="578A30A4"/>
    <w:rsid w:val="57A557E8"/>
    <w:rsid w:val="57AA72A2"/>
    <w:rsid w:val="57E83927"/>
    <w:rsid w:val="57F10A2D"/>
    <w:rsid w:val="57FC2C7E"/>
    <w:rsid w:val="58003366"/>
    <w:rsid w:val="5824242B"/>
    <w:rsid w:val="58392CB7"/>
    <w:rsid w:val="58576E0B"/>
    <w:rsid w:val="586C4782"/>
    <w:rsid w:val="589A2E73"/>
    <w:rsid w:val="59123EB1"/>
    <w:rsid w:val="593212FE"/>
    <w:rsid w:val="59376914"/>
    <w:rsid w:val="593E4146"/>
    <w:rsid w:val="59467D6B"/>
    <w:rsid w:val="59815DE1"/>
    <w:rsid w:val="598430B0"/>
    <w:rsid w:val="599E00A5"/>
    <w:rsid w:val="59A73E93"/>
    <w:rsid w:val="59CD1026"/>
    <w:rsid w:val="5A07015D"/>
    <w:rsid w:val="5A0C5FF2"/>
    <w:rsid w:val="5A165BAE"/>
    <w:rsid w:val="5A364E1D"/>
    <w:rsid w:val="5A3E3CD2"/>
    <w:rsid w:val="5A4E660B"/>
    <w:rsid w:val="5A56101C"/>
    <w:rsid w:val="5A6E45B7"/>
    <w:rsid w:val="5A7D47FA"/>
    <w:rsid w:val="5A8E6A07"/>
    <w:rsid w:val="5A9304C2"/>
    <w:rsid w:val="5A932270"/>
    <w:rsid w:val="5AA841B8"/>
    <w:rsid w:val="5AB42F3F"/>
    <w:rsid w:val="5AFFF0E8"/>
    <w:rsid w:val="5B024D91"/>
    <w:rsid w:val="5B152C85"/>
    <w:rsid w:val="5B392617"/>
    <w:rsid w:val="5B45224F"/>
    <w:rsid w:val="5B545319"/>
    <w:rsid w:val="5B714AE5"/>
    <w:rsid w:val="5B793214"/>
    <w:rsid w:val="5BD13050"/>
    <w:rsid w:val="5BD7703B"/>
    <w:rsid w:val="5BE5269E"/>
    <w:rsid w:val="5BED49B8"/>
    <w:rsid w:val="5BF724AE"/>
    <w:rsid w:val="5BFB55B2"/>
    <w:rsid w:val="5C27392D"/>
    <w:rsid w:val="5C466AA1"/>
    <w:rsid w:val="5CBA3AE4"/>
    <w:rsid w:val="5CF23A89"/>
    <w:rsid w:val="5D042FB1"/>
    <w:rsid w:val="5D172CE4"/>
    <w:rsid w:val="5D3753CE"/>
    <w:rsid w:val="5D41001F"/>
    <w:rsid w:val="5D52469A"/>
    <w:rsid w:val="5D647EF4"/>
    <w:rsid w:val="5D7F6ADB"/>
    <w:rsid w:val="5DA05841"/>
    <w:rsid w:val="5DBA36BF"/>
    <w:rsid w:val="5DC56BE4"/>
    <w:rsid w:val="5DD76917"/>
    <w:rsid w:val="5DEA1DD9"/>
    <w:rsid w:val="5DEF0B27"/>
    <w:rsid w:val="5E096E10"/>
    <w:rsid w:val="5E2E29DB"/>
    <w:rsid w:val="5E434D2D"/>
    <w:rsid w:val="5E48511F"/>
    <w:rsid w:val="5E5D506F"/>
    <w:rsid w:val="5E781EA8"/>
    <w:rsid w:val="5EB120F9"/>
    <w:rsid w:val="5EB32EE1"/>
    <w:rsid w:val="5EEF2D6D"/>
    <w:rsid w:val="5EF17565"/>
    <w:rsid w:val="5F013745"/>
    <w:rsid w:val="5F1119B5"/>
    <w:rsid w:val="5F2E2567"/>
    <w:rsid w:val="5F3833E6"/>
    <w:rsid w:val="5F427DC1"/>
    <w:rsid w:val="5F571924"/>
    <w:rsid w:val="5F6661A5"/>
    <w:rsid w:val="5F667B33"/>
    <w:rsid w:val="5F9A19AB"/>
    <w:rsid w:val="5FA10F8B"/>
    <w:rsid w:val="5FAFDC09"/>
    <w:rsid w:val="5FB94527"/>
    <w:rsid w:val="5FBDB5D9"/>
    <w:rsid w:val="5FC15189"/>
    <w:rsid w:val="5FD41360"/>
    <w:rsid w:val="5FDBC166"/>
    <w:rsid w:val="5FE24BB5"/>
    <w:rsid w:val="5FFC3DA8"/>
    <w:rsid w:val="60651FB9"/>
    <w:rsid w:val="607A7BA9"/>
    <w:rsid w:val="607F46FC"/>
    <w:rsid w:val="60CF38D6"/>
    <w:rsid w:val="60D32BA4"/>
    <w:rsid w:val="60D84E80"/>
    <w:rsid w:val="612E4AA0"/>
    <w:rsid w:val="61587D6F"/>
    <w:rsid w:val="619375AE"/>
    <w:rsid w:val="619F772F"/>
    <w:rsid w:val="61A30FEA"/>
    <w:rsid w:val="61A46FB6"/>
    <w:rsid w:val="61A60ADB"/>
    <w:rsid w:val="621A6DD3"/>
    <w:rsid w:val="622B7232"/>
    <w:rsid w:val="623205C0"/>
    <w:rsid w:val="62471F04"/>
    <w:rsid w:val="626926CD"/>
    <w:rsid w:val="6280132C"/>
    <w:rsid w:val="62970423"/>
    <w:rsid w:val="62AF39BF"/>
    <w:rsid w:val="62B40FD5"/>
    <w:rsid w:val="62B64D4D"/>
    <w:rsid w:val="62EF04FC"/>
    <w:rsid w:val="62F835B8"/>
    <w:rsid w:val="635B76A3"/>
    <w:rsid w:val="63AD43A2"/>
    <w:rsid w:val="63B40F7B"/>
    <w:rsid w:val="63DF2082"/>
    <w:rsid w:val="63F20007"/>
    <w:rsid w:val="63F57AF7"/>
    <w:rsid w:val="63FC2F6F"/>
    <w:rsid w:val="640F4477"/>
    <w:rsid w:val="64AD3F2E"/>
    <w:rsid w:val="64C03C61"/>
    <w:rsid w:val="64F63B27"/>
    <w:rsid w:val="64FD4EB5"/>
    <w:rsid w:val="650268E5"/>
    <w:rsid w:val="654F25CB"/>
    <w:rsid w:val="655D7702"/>
    <w:rsid w:val="65670581"/>
    <w:rsid w:val="656E7B61"/>
    <w:rsid w:val="656F7435"/>
    <w:rsid w:val="6582360D"/>
    <w:rsid w:val="658706E6"/>
    <w:rsid w:val="659B647C"/>
    <w:rsid w:val="65A43583"/>
    <w:rsid w:val="65C07C91"/>
    <w:rsid w:val="65CE4B78"/>
    <w:rsid w:val="65E16585"/>
    <w:rsid w:val="65FDD29F"/>
    <w:rsid w:val="662D5327"/>
    <w:rsid w:val="6633025F"/>
    <w:rsid w:val="66540934"/>
    <w:rsid w:val="66884C53"/>
    <w:rsid w:val="669C24AC"/>
    <w:rsid w:val="66BC66AA"/>
    <w:rsid w:val="66E63727"/>
    <w:rsid w:val="67277FC8"/>
    <w:rsid w:val="672C3830"/>
    <w:rsid w:val="672C60FE"/>
    <w:rsid w:val="6742635A"/>
    <w:rsid w:val="676E3E49"/>
    <w:rsid w:val="67890C82"/>
    <w:rsid w:val="679F4002"/>
    <w:rsid w:val="67C577E1"/>
    <w:rsid w:val="67CB643B"/>
    <w:rsid w:val="67DC5256"/>
    <w:rsid w:val="67DF3DDE"/>
    <w:rsid w:val="681542C4"/>
    <w:rsid w:val="68490412"/>
    <w:rsid w:val="687A05CB"/>
    <w:rsid w:val="688356D2"/>
    <w:rsid w:val="68953657"/>
    <w:rsid w:val="68F0088D"/>
    <w:rsid w:val="68F14D31"/>
    <w:rsid w:val="691D5B26"/>
    <w:rsid w:val="691E364C"/>
    <w:rsid w:val="69216C99"/>
    <w:rsid w:val="693B303B"/>
    <w:rsid w:val="695013E3"/>
    <w:rsid w:val="698E2580"/>
    <w:rsid w:val="69981651"/>
    <w:rsid w:val="699D6C67"/>
    <w:rsid w:val="69EB168F"/>
    <w:rsid w:val="6A04454B"/>
    <w:rsid w:val="6A892D47"/>
    <w:rsid w:val="6AA3205B"/>
    <w:rsid w:val="6AF26B3F"/>
    <w:rsid w:val="6AF544C1"/>
    <w:rsid w:val="6B056872"/>
    <w:rsid w:val="6B563571"/>
    <w:rsid w:val="6B7C465A"/>
    <w:rsid w:val="6B8160BE"/>
    <w:rsid w:val="6B96571C"/>
    <w:rsid w:val="6BB107A8"/>
    <w:rsid w:val="6BC4349B"/>
    <w:rsid w:val="6BC8789F"/>
    <w:rsid w:val="6BDC1698"/>
    <w:rsid w:val="6BDF5315"/>
    <w:rsid w:val="6BE40B7D"/>
    <w:rsid w:val="6BEFD57A"/>
    <w:rsid w:val="6BF62DD0"/>
    <w:rsid w:val="6C1A00FB"/>
    <w:rsid w:val="6C240F7A"/>
    <w:rsid w:val="6C2611B8"/>
    <w:rsid w:val="6C265D0B"/>
    <w:rsid w:val="6C423AF6"/>
    <w:rsid w:val="6C4E5FF7"/>
    <w:rsid w:val="6C845EBC"/>
    <w:rsid w:val="6C8B2DA7"/>
    <w:rsid w:val="6CA16A6E"/>
    <w:rsid w:val="6CB7597B"/>
    <w:rsid w:val="6CD24E7A"/>
    <w:rsid w:val="6CE93F71"/>
    <w:rsid w:val="6CED5810"/>
    <w:rsid w:val="6D140FEE"/>
    <w:rsid w:val="6D3B2DB2"/>
    <w:rsid w:val="6D855A48"/>
    <w:rsid w:val="6D8F68C7"/>
    <w:rsid w:val="6D905BD7"/>
    <w:rsid w:val="6D96757E"/>
    <w:rsid w:val="6DB927E4"/>
    <w:rsid w:val="6DC26C9C"/>
    <w:rsid w:val="6DD54C21"/>
    <w:rsid w:val="6DEF389E"/>
    <w:rsid w:val="6E1C739E"/>
    <w:rsid w:val="6E924DC6"/>
    <w:rsid w:val="6E976810"/>
    <w:rsid w:val="6EAA08D9"/>
    <w:rsid w:val="6EAC4D16"/>
    <w:rsid w:val="6ED529FF"/>
    <w:rsid w:val="6EDC0410"/>
    <w:rsid w:val="6EFB07FD"/>
    <w:rsid w:val="6F045092"/>
    <w:rsid w:val="6F0A08FB"/>
    <w:rsid w:val="6F2B78D6"/>
    <w:rsid w:val="6F327E52"/>
    <w:rsid w:val="6F6079A0"/>
    <w:rsid w:val="6F7968C4"/>
    <w:rsid w:val="6F9A9F72"/>
    <w:rsid w:val="6F9DC746"/>
    <w:rsid w:val="6FA74AC1"/>
    <w:rsid w:val="6FB2689C"/>
    <w:rsid w:val="6FCFB454"/>
    <w:rsid w:val="6FF62C2D"/>
    <w:rsid w:val="6FFB6F1E"/>
    <w:rsid w:val="6FFDD922"/>
    <w:rsid w:val="700C2FD7"/>
    <w:rsid w:val="703E2017"/>
    <w:rsid w:val="7056191E"/>
    <w:rsid w:val="706933FF"/>
    <w:rsid w:val="707A385E"/>
    <w:rsid w:val="70875F7B"/>
    <w:rsid w:val="70B5413B"/>
    <w:rsid w:val="70D34D1C"/>
    <w:rsid w:val="70EC5DDE"/>
    <w:rsid w:val="70EF3A80"/>
    <w:rsid w:val="7113780F"/>
    <w:rsid w:val="711F4E88"/>
    <w:rsid w:val="712A5284"/>
    <w:rsid w:val="713F4C36"/>
    <w:rsid w:val="71463740"/>
    <w:rsid w:val="714B51FB"/>
    <w:rsid w:val="715D580C"/>
    <w:rsid w:val="71816E6E"/>
    <w:rsid w:val="71A35864"/>
    <w:rsid w:val="71A62431"/>
    <w:rsid w:val="71CF3736"/>
    <w:rsid w:val="71E74F23"/>
    <w:rsid w:val="72071122"/>
    <w:rsid w:val="724759C2"/>
    <w:rsid w:val="724A54B2"/>
    <w:rsid w:val="72563E57"/>
    <w:rsid w:val="725E2D0C"/>
    <w:rsid w:val="7278201F"/>
    <w:rsid w:val="728422EA"/>
    <w:rsid w:val="72AA7CFF"/>
    <w:rsid w:val="72C47013"/>
    <w:rsid w:val="72F01BB6"/>
    <w:rsid w:val="735B3C10"/>
    <w:rsid w:val="73AFDD99"/>
    <w:rsid w:val="73C07505"/>
    <w:rsid w:val="73C44DF0"/>
    <w:rsid w:val="73FD6512"/>
    <w:rsid w:val="7420754C"/>
    <w:rsid w:val="743467DF"/>
    <w:rsid w:val="745B7503"/>
    <w:rsid w:val="747B1953"/>
    <w:rsid w:val="74AB66DC"/>
    <w:rsid w:val="74C01A5C"/>
    <w:rsid w:val="74C4779E"/>
    <w:rsid w:val="74CC0913"/>
    <w:rsid w:val="750E6C6B"/>
    <w:rsid w:val="752244C4"/>
    <w:rsid w:val="75226272"/>
    <w:rsid w:val="753C5586"/>
    <w:rsid w:val="75422471"/>
    <w:rsid w:val="75452F6C"/>
    <w:rsid w:val="75766894"/>
    <w:rsid w:val="758D193E"/>
    <w:rsid w:val="75D03F20"/>
    <w:rsid w:val="75D4B0C5"/>
    <w:rsid w:val="75E31DCA"/>
    <w:rsid w:val="75E63744"/>
    <w:rsid w:val="76263B40"/>
    <w:rsid w:val="76337FBD"/>
    <w:rsid w:val="765F1837"/>
    <w:rsid w:val="76AA651F"/>
    <w:rsid w:val="76C842B2"/>
    <w:rsid w:val="76D323C2"/>
    <w:rsid w:val="76E97048"/>
    <w:rsid w:val="76FA74A7"/>
    <w:rsid w:val="771147F0"/>
    <w:rsid w:val="77846423"/>
    <w:rsid w:val="77987905"/>
    <w:rsid w:val="77A4062A"/>
    <w:rsid w:val="77B43AFA"/>
    <w:rsid w:val="77CEB552"/>
    <w:rsid w:val="77EE1459"/>
    <w:rsid w:val="77FF0B7F"/>
    <w:rsid w:val="783D6C2D"/>
    <w:rsid w:val="78620440"/>
    <w:rsid w:val="7866291A"/>
    <w:rsid w:val="78746DE5"/>
    <w:rsid w:val="78E669F0"/>
    <w:rsid w:val="790628EB"/>
    <w:rsid w:val="79170734"/>
    <w:rsid w:val="79334EF2"/>
    <w:rsid w:val="79450781"/>
    <w:rsid w:val="794C5FB4"/>
    <w:rsid w:val="798E037A"/>
    <w:rsid w:val="79935991"/>
    <w:rsid w:val="79AE27CB"/>
    <w:rsid w:val="79C93160"/>
    <w:rsid w:val="79D833A4"/>
    <w:rsid w:val="79DC10E6"/>
    <w:rsid w:val="79E6264C"/>
    <w:rsid w:val="79EE0E19"/>
    <w:rsid w:val="7A046E78"/>
    <w:rsid w:val="7A286D44"/>
    <w:rsid w:val="7ABB6F4D"/>
    <w:rsid w:val="7ABF77DE"/>
    <w:rsid w:val="7AD16771"/>
    <w:rsid w:val="7AE87FB7"/>
    <w:rsid w:val="7AE91D0C"/>
    <w:rsid w:val="7AEF6BF7"/>
    <w:rsid w:val="7AFE9127"/>
    <w:rsid w:val="7AFF279F"/>
    <w:rsid w:val="7B0C51F3"/>
    <w:rsid w:val="7B260425"/>
    <w:rsid w:val="7B334D35"/>
    <w:rsid w:val="7B3B1E3C"/>
    <w:rsid w:val="7B3F192C"/>
    <w:rsid w:val="7B75534E"/>
    <w:rsid w:val="7B803CF3"/>
    <w:rsid w:val="7BA75723"/>
    <w:rsid w:val="7BA94386"/>
    <w:rsid w:val="7BBF1012"/>
    <w:rsid w:val="7BBF38D5"/>
    <w:rsid w:val="7BFF8A83"/>
    <w:rsid w:val="7C016BE2"/>
    <w:rsid w:val="7C15268D"/>
    <w:rsid w:val="7C3564A7"/>
    <w:rsid w:val="7C427A6B"/>
    <w:rsid w:val="7C556F2D"/>
    <w:rsid w:val="7C8D2B6B"/>
    <w:rsid w:val="7CC12815"/>
    <w:rsid w:val="7CDE71C1"/>
    <w:rsid w:val="7CF31A12"/>
    <w:rsid w:val="7D272678"/>
    <w:rsid w:val="7D337200"/>
    <w:rsid w:val="7D6C452F"/>
    <w:rsid w:val="7D7CDCDC"/>
    <w:rsid w:val="7D853842"/>
    <w:rsid w:val="7D9A6DB2"/>
    <w:rsid w:val="7D9D0B8C"/>
    <w:rsid w:val="7D9F01FC"/>
    <w:rsid w:val="7DD8D338"/>
    <w:rsid w:val="7DFC96B7"/>
    <w:rsid w:val="7E024E93"/>
    <w:rsid w:val="7E0E1A8A"/>
    <w:rsid w:val="7E3FEBDF"/>
    <w:rsid w:val="7E4C610E"/>
    <w:rsid w:val="7E7C4DEA"/>
    <w:rsid w:val="7E7F716F"/>
    <w:rsid w:val="7EA36676"/>
    <w:rsid w:val="7EB4EFF0"/>
    <w:rsid w:val="7EC974AC"/>
    <w:rsid w:val="7EC9775F"/>
    <w:rsid w:val="7EFD62F6"/>
    <w:rsid w:val="7EFF6A8E"/>
    <w:rsid w:val="7F05FA6F"/>
    <w:rsid w:val="7F062761"/>
    <w:rsid w:val="7F0A2251"/>
    <w:rsid w:val="7F2D41F7"/>
    <w:rsid w:val="7F4F5EB6"/>
    <w:rsid w:val="7F503F3A"/>
    <w:rsid w:val="7F623E3B"/>
    <w:rsid w:val="7F6F8B14"/>
    <w:rsid w:val="7F7973D7"/>
    <w:rsid w:val="7F7B5782"/>
    <w:rsid w:val="7F871AF4"/>
    <w:rsid w:val="7F945FBF"/>
    <w:rsid w:val="7FABF289"/>
    <w:rsid w:val="7FBC69D3"/>
    <w:rsid w:val="7FBD63B1"/>
    <w:rsid w:val="7FD14B1D"/>
    <w:rsid w:val="7FD7CA76"/>
    <w:rsid w:val="7FDF1F5D"/>
    <w:rsid w:val="7FDFEDC8"/>
    <w:rsid w:val="7FE418FF"/>
    <w:rsid w:val="7FE505C8"/>
    <w:rsid w:val="7FE78644"/>
    <w:rsid w:val="7FEB02D7"/>
    <w:rsid w:val="7FEB1D8F"/>
    <w:rsid w:val="7FF3E4A9"/>
    <w:rsid w:val="7FF715B5"/>
    <w:rsid w:val="7FFB902C"/>
    <w:rsid w:val="7FFBC657"/>
    <w:rsid w:val="7FFDB441"/>
    <w:rsid w:val="7FFFF2F5"/>
    <w:rsid w:val="8F9B8E6D"/>
    <w:rsid w:val="933A8699"/>
    <w:rsid w:val="9AB96138"/>
    <w:rsid w:val="9BFFC0E0"/>
    <w:rsid w:val="9EFF2BFC"/>
    <w:rsid w:val="A5BFD7DF"/>
    <w:rsid w:val="A7FFAFE6"/>
    <w:rsid w:val="AD5CF914"/>
    <w:rsid w:val="AD99191C"/>
    <w:rsid w:val="AE3E018C"/>
    <w:rsid w:val="AEF338E2"/>
    <w:rsid w:val="B57EE1F8"/>
    <w:rsid w:val="B6A31112"/>
    <w:rsid w:val="B6DFA8B4"/>
    <w:rsid w:val="B7E555D0"/>
    <w:rsid w:val="B7FD2C37"/>
    <w:rsid w:val="B87F0DAE"/>
    <w:rsid w:val="BD7F15C1"/>
    <w:rsid w:val="BDDE5BEE"/>
    <w:rsid w:val="BEBF7356"/>
    <w:rsid w:val="BFF3C5C6"/>
    <w:rsid w:val="BFF9B4E2"/>
    <w:rsid w:val="C5FE869B"/>
    <w:rsid w:val="CAB39364"/>
    <w:rsid w:val="CBDE0234"/>
    <w:rsid w:val="D17543B6"/>
    <w:rsid w:val="D5DF44FE"/>
    <w:rsid w:val="D78B6DAE"/>
    <w:rsid w:val="DC574258"/>
    <w:rsid w:val="DCEB895D"/>
    <w:rsid w:val="DDBE2690"/>
    <w:rsid w:val="DDEDD92F"/>
    <w:rsid w:val="DEEB0DD5"/>
    <w:rsid w:val="DF3315D0"/>
    <w:rsid w:val="DFEAA671"/>
    <w:rsid w:val="DFEFE4E6"/>
    <w:rsid w:val="DFFEC524"/>
    <w:rsid w:val="E3F3897C"/>
    <w:rsid w:val="E57F6ACC"/>
    <w:rsid w:val="E67E58A3"/>
    <w:rsid w:val="E7BF000C"/>
    <w:rsid w:val="E7BF467E"/>
    <w:rsid w:val="E7D7ABBD"/>
    <w:rsid w:val="E7FE7E2A"/>
    <w:rsid w:val="ECFF8011"/>
    <w:rsid w:val="EDFFC179"/>
    <w:rsid w:val="EFB97B77"/>
    <w:rsid w:val="EFDF4612"/>
    <w:rsid w:val="EFF1BAC1"/>
    <w:rsid w:val="EFF79E6B"/>
    <w:rsid w:val="F1FFF3C0"/>
    <w:rsid w:val="F4ED4B2D"/>
    <w:rsid w:val="F5FBEFBA"/>
    <w:rsid w:val="F62B7768"/>
    <w:rsid w:val="F7A73DC6"/>
    <w:rsid w:val="F7D74493"/>
    <w:rsid w:val="F7DF9924"/>
    <w:rsid w:val="F7FF8293"/>
    <w:rsid w:val="F8BAB71C"/>
    <w:rsid w:val="FBC944A7"/>
    <w:rsid w:val="FDFBB1E6"/>
    <w:rsid w:val="FE44BA23"/>
    <w:rsid w:val="FE95E942"/>
    <w:rsid w:val="FEBB6A60"/>
    <w:rsid w:val="FEFF4BBD"/>
    <w:rsid w:val="FEFF6305"/>
    <w:rsid w:val="FF6A3DAA"/>
    <w:rsid w:val="FF7A5F33"/>
    <w:rsid w:val="FF9B8B22"/>
    <w:rsid w:val="FFC73A32"/>
    <w:rsid w:val="FFCFD734"/>
    <w:rsid w:val="FFDD94C1"/>
    <w:rsid w:val="FFE702F9"/>
    <w:rsid w:val="FFEBB269"/>
    <w:rsid w:val="FFF6E37D"/>
    <w:rsid w:val="FFFECA6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qFormat="1" w:unhideWhenUsed="0" w:uiPriority="0" w:semiHidden="0" w:name="footnote reference"/>
    <w:lsdException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640" w:firstLineChars="200"/>
      <w:jc w:val="both"/>
    </w:pPr>
    <w:rPr>
      <w:rFonts w:ascii="Times New Roman" w:hAnsi="Times New Roman" w:eastAsia="宋体" w:cs="Times New Roman"/>
      <w:kern w:val="2"/>
      <w:sz w:val="24"/>
      <w:szCs w:val="22"/>
      <w:lang w:val="en-US" w:eastAsia="zh-CN" w:bidi="ar-SA"/>
    </w:rPr>
  </w:style>
  <w:style w:type="paragraph" w:styleId="3">
    <w:name w:val="heading 1"/>
    <w:next w:val="1"/>
    <w:link w:val="21"/>
    <w:qFormat/>
    <w:uiPriority w:val="9"/>
    <w:pPr>
      <w:keepNext/>
      <w:keepLines/>
      <w:spacing w:line="360" w:lineRule="auto"/>
      <w:outlineLvl w:val="0"/>
    </w:pPr>
    <w:rPr>
      <w:rFonts w:ascii="Arial" w:hAnsi="Arial" w:eastAsia="黑体" w:cs="Times New Roman"/>
      <w:b/>
      <w:bCs/>
      <w:kern w:val="44"/>
      <w:sz w:val="36"/>
      <w:szCs w:val="44"/>
      <w:lang w:val="en-US" w:eastAsia="zh-CN" w:bidi="ar-SA"/>
    </w:rPr>
  </w:style>
  <w:style w:type="paragraph" w:styleId="4">
    <w:name w:val="heading 2"/>
    <w:next w:val="1"/>
    <w:link w:val="22"/>
    <w:qFormat/>
    <w:uiPriority w:val="9"/>
    <w:pPr>
      <w:keepNext/>
      <w:keepLines/>
      <w:spacing w:line="360" w:lineRule="auto"/>
      <w:outlineLvl w:val="1"/>
    </w:pPr>
    <w:rPr>
      <w:rFonts w:ascii="Cambria" w:hAnsi="Cambria" w:eastAsia="黑体" w:cs="Times New Roman"/>
      <w:b/>
      <w:bCs/>
      <w:sz w:val="30"/>
      <w:szCs w:val="32"/>
      <w:lang w:val="en-US" w:eastAsia="zh-CN" w:bidi="ar-SA"/>
    </w:rPr>
  </w:style>
  <w:style w:type="paragraph" w:styleId="5">
    <w:name w:val="heading 3"/>
    <w:next w:val="1"/>
    <w:link w:val="23"/>
    <w:autoRedefine/>
    <w:qFormat/>
    <w:uiPriority w:val="9"/>
    <w:pPr>
      <w:keepNext/>
      <w:keepLines/>
      <w:spacing w:line="360" w:lineRule="auto"/>
      <w:outlineLvl w:val="2"/>
    </w:pPr>
    <w:rPr>
      <w:rFonts w:ascii="Times New Roman" w:hAnsi="Times New Roman" w:eastAsia="黑体" w:cs="Times New Roman"/>
      <w:bCs/>
      <w:sz w:val="28"/>
      <w:szCs w:val="32"/>
      <w:lang w:val="en-US" w:eastAsia="zh-CN" w:bidi="ar-SA"/>
    </w:rPr>
  </w:style>
  <w:style w:type="paragraph" w:styleId="6">
    <w:name w:val="heading 4"/>
    <w:basedOn w:val="1"/>
    <w:next w:val="1"/>
    <w:link w:val="24"/>
    <w:autoRedefine/>
    <w:qFormat/>
    <w:uiPriority w:val="9"/>
    <w:pPr>
      <w:keepNext/>
      <w:keepLines/>
      <w:spacing w:line="360" w:lineRule="auto"/>
      <w:ind w:firstLine="0" w:firstLineChars="0"/>
      <w:jc w:val="center"/>
      <w:outlineLvl w:val="3"/>
    </w:pPr>
    <w:rPr>
      <w:rFonts w:ascii="Cambria" w:hAnsi="Cambria"/>
      <w:bCs/>
      <w:sz w:val="21"/>
      <w:szCs w:val="28"/>
    </w:rPr>
  </w:style>
  <w:style w:type="character" w:default="1" w:styleId="16">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Autospacing="0"/>
    </w:pPr>
    <w:rPr>
      <w:rFonts w:ascii="Times New Roman" w:hAnsi="Times New Roman" w:eastAsia="宋体" w:cs="Times New Roman"/>
      <w:sz w:val="30"/>
      <w:szCs w:val="30"/>
    </w:rPr>
  </w:style>
  <w:style w:type="paragraph" w:styleId="7">
    <w:name w:val="toc 3"/>
    <w:basedOn w:val="1"/>
    <w:next w:val="1"/>
    <w:qFormat/>
    <w:uiPriority w:val="0"/>
    <w:pPr>
      <w:ind w:left="840" w:leftChars="400"/>
    </w:pPr>
  </w:style>
  <w:style w:type="paragraph" w:styleId="8">
    <w:name w:val="Balloon Text"/>
    <w:basedOn w:val="1"/>
    <w:link w:val="25"/>
    <w:qFormat/>
    <w:uiPriority w:val="0"/>
    <w:pPr>
      <w:spacing w:line="240" w:lineRule="auto"/>
    </w:pPr>
    <w:rPr>
      <w:sz w:val="18"/>
      <w:szCs w:val="18"/>
    </w:rPr>
  </w:style>
  <w:style w:type="paragraph" w:styleId="9">
    <w:name w:val="footer"/>
    <w:basedOn w:val="1"/>
    <w:link w:val="26"/>
    <w:qFormat/>
    <w:uiPriority w:val="0"/>
    <w:pPr>
      <w:tabs>
        <w:tab w:val="center" w:pos="4153"/>
        <w:tab w:val="right" w:pos="8306"/>
      </w:tabs>
      <w:snapToGrid w:val="0"/>
      <w:spacing w:line="240" w:lineRule="auto"/>
      <w:jc w:val="left"/>
    </w:pPr>
    <w:rPr>
      <w:sz w:val="18"/>
      <w:szCs w:val="18"/>
    </w:rPr>
  </w:style>
  <w:style w:type="paragraph" w:styleId="10">
    <w:name w:val="header"/>
    <w:basedOn w:val="1"/>
    <w:link w:val="27"/>
    <w:autoRedefine/>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1">
    <w:name w:val="toc 1"/>
    <w:basedOn w:val="1"/>
    <w:next w:val="1"/>
    <w:qFormat/>
    <w:uiPriority w:val="39"/>
  </w:style>
  <w:style w:type="paragraph" w:styleId="12">
    <w:name w:val="footnote text"/>
    <w:basedOn w:val="1"/>
    <w:qFormat/>
    <w:uiPriority w:val="0"/>
    <w:pPr>
      <w:snapToGrid w:val="0"/>
      <w:jc w:val="left"/>
    </w:pPr>
    <w:rPr>
      <w:sz w:val="18"/>
    </w:rPr>
  </w:style>
  <w:style w:type="paragraph" w:styleId="13">
    <w:name w:val="toc 2"/>
    <w:basedOn w:val="1"/>
    <w:next w:val="1"/>
    <w:qFormat/>
    <w:uiPriority w:val="39"/>
    <w:pPr>
      <w:ind w:left="420" w:leftChars="200"/>
    </w:p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22"/>
    <w:rPr>
      <w:b/>
    </w:rPr>
  </w:style>
  <w:style w:type="character" w:styleId="18">
    <w:name w:val="Hyperlink"/>
    <w:unhideWhenUsed/>
    <w:qFormat/>
    <w:uiPriority w:val="99"/>
    <w:rPr>
      <w:color w:val="0000FF"/>
      <w:u w:val="single"/>
    </w:rPr>
  </w:style>
  <w:style w:type="character" w:styleId="19">
    <w:name w:val="footnote reference"/>
    <w:basedOn w:val="16"/>
    <w:qFormat/>
    <w:uiPriority w:val="0"/>
    <w:rPr>
      <w:vertAlign w:val="superscript"/>
    </w:rPr>
  </w:style>
  <w:style w:type="paragraph" w:customStyle="1" w:styleId="20">
    <w:name w:val="Default"/>
    <w:qFormat/>
    <w:uiPriority w:val="0"/>
    <w:pPr>
      <w:widowControl w:val="0"/>
      <w:autoSpaceDE w:val="0"/>
      <w:autoSpaceDN w:val="0"/>
      <w:adjustRightInd w:val="0"/>
      <w:spacing w:line="560" w:lineRule="exact"/>
      <w:jc w:val="both"/>
    </w:pPr>
    <w:rPr>
      <w:rFonts w:ascii="宋体" w:hAnsi="Calibri" w:eastAsia="宋体" w:cs="宋体"/>
      <w:color w:val="000000"/>
      <w:sz w:val="24"/>
      <w:szCs w:val="24"/>
      <w:lang w:val="en-US" w:eastAsia="zh-CN" w:bidi="ar-SA"/>
    </w:rPr>
  </w:style>
  <w:style w:type="character" w:customStyle="1" w:styleId="21">
    <w:name w:val="标题 1 Char"/>
    <w:link w:val="3"/>
    <w:qFormat/>
    <w:uiPriority w:val="9"/>
    <w:rPr>
      <w:rFonts w:ascii="Arial" w:hAnsi="Arial" w:eastAsia="黑体"/>
      <w:b/>
      <w:bCs/>
      <w:kern w:val="44"/>
      <w:sz w:val="36"/>
      <w:szCs w:val="44"/>
    </w:rPr>
  </w:style>
  <w:style w:type="character" w:customStyle="1" w:styleId="22">
    <w:name w:val="标题 2 Char"/>
    <w:link w:val="4"/>
    <w:qFormat/>
    <w:uiPriority w:val="9"/>
    <w:rPr>
      <w:rFonts w:ascii="Cambria" w:hAnsi="Cambria" w:eastAsia="黑体" w:cs="Times New Roman"/>
      <w:b/>
      <w:bCs/>
      <w:sz w:val="30"/>
      <w:szCs w:val="32"/>
    </w:rPr>
  </w:style>
  <w:style w:type="character" w:customStyle="1" w:styleId="23">
    <w:name w:val="标题 3 Char"/>
    <w:link w:val="5"/>
    <w:qFormat/>
    <w:uiPriority w:val="9"/>
    <w:rPr>
      <w:rFonts w:ascii="Times New Roman" w:hAnsi="Times New Roman" w:eastAsia="黑体"/>
      <w:bCs/>
      <w:kern w:val="2"/>
      <w:sz w:val="28"/>
      <w:szCs w:val="32"/>
    </w:rPr>
  </w:style>
  <w:style w:type="character" w:customStyle="1" w:styleId="24">
    <w:name w:val="标题 4 Char"/>
    <w:link w:val="6"/>
    <w:qFormat/>
    <w:uiPriority w:val="9"/>
    <w:rPr>
      <w:rFonts w:ascii="Cambria" w:hAnsi="Cambria" w:eastAsia="宋体"/>
      <w:bCs/>
      <w:kern w:val="2"/>
      <w:sz w:val="21"/>
      <w:szCs w:val="28"/>
    </w:rPr>
  </w:style>
  <w:style w:type="character" w:customStyle="1" w:styleId="25">
    <w:name w:val="批注框文本 Char"/>
    <w:link w:val="8"/>
    <w:qFormat/>
    <w:uiPriority w:val="0"/>
    <w:rPr>
      <w:kern w:val="2"/>
      <w:sz w:val="18"/>
      <w:szCs w:val="18"/>
    </w:rPr>
  </w:style>
  <w:style w:type="character" w:customStyle="1" w:styleId="26">
    <w:name w:val="页脚 Char"/>
    <w:link w:val="9"/>
    <w:qFormat/>
    <w:uiPriority w:val="0"/>
    <w:rPr>
      <w:kern w:val="2"/>
      <w:sz w:val="18"/>
      <w:szCs w:val="18"/>
    </w:rPr>
  </w:style>
  <w:style w:type="character" w:customStyle="1" w:styleId="27">
    <w:name w:val="页眉 Char"/>
    <w:link w:val="10"/>
    <w:qFormat/>
    <w:uiPriority w:val="0"/>
    <w:rPr>
      <w:kern w:val="2"/>
      <w:sz w:val="18"/>
      <w:szCs w:val="18"/>
    </w:rPr>
  </w:style>
  <w:style w:type="character" w:customStyle="1" w:styleId="28">
    <w:name w:val="表格式 Char"/>
    <w:link w:val="29"/>
    <w:qFormat/>
    <w:locked/>
    <w:uiPriority w:val="0"/>
    <w:rPr>
      <w:rFonts w:ascii="宋体" w:hAnsi="宋体"/>
      <w:sz w:val="21"/>
    </w:rPr>
  </w:style>
  <w:style w:type="paragraph" w:customStyle="1" w:styleId="29">
    <w:name w:val="表格式"/>
    <w:basedOn w:val="1"/>
    <w:link w:val="28"/>
    <w:qFormat/>
    <w:uiPriority w:val="0"/>
    <w:pPr>
      <w:spacing w:beforeLines="100"/>
      <w:jc w:val="left"/>
    </w:pPr>
    <w:rPr>
      <w:rFonts w:ascii="宋体" w:hAnsi="宋体"/>
      <w:kern w:val="0"/>
      <w:szCs w:val="20"/>
    </w:rPr>
  </w:style>
  <w:style w:type="paragraph" w:customStyle="1" w:styleId="30">
    <w:name w:val="图表"/>
    <w:qFormat/>
    <w:uiPriority w:val="0"/>
    <w:pPr>
      <w:spacing w:line="480" w:lineRule="auto"/>
      <w:jc w:val="center"/>
    </w:pPr>
    <w:rPr>
      <w:rFonts w:ascii="Times New Roman" w:hAnsi="Times New Roman" w:eastAsia="宋体" w:cs="Times New Roman"/>
      <w:sz w:val="21"/>
      <w:szCs w:val="24"/>
      <w:lang w:val="en-US" w:eastAsia="zh-CN" w:bidi="ar-SA"/>
    </w:rPr>
  </w:style>
  <w:style w:type="paragraph" w:customStyle="1" w:styleId="31">
    <w:name w:val="WPSOffice手动目录 1"/>
    <w:qFormat/>
    <w:uiPriority w:val="0"/>
    <w:rPr>
      <w:rFonts w:ascii="Times New Roman" w:hAnsi="Times New Roman" w:eastAsia="宋体" w:cs="Times New Roman"/>
      <w:lang w:val="en-US" w:eastAsia="zh-CN" w:bidi="ar-SA"/>
    </w:rPr>
  </w:style>
  <w:style w:type="paragraph" w:customStyle="1" w:styleId="32">
    <w:name w:val="WPSOffice手动目录 2"/>
    <w:qFormat/>
    <w:uiPriority w:val="0"/>
    <w:pPr>
      <w:ind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image" Target="media/image1.emf"/><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36</Pages>
  <Words>21364</Words>
  <Characters>23017</Characters>
  <Lines>195</Lines>
  <Paragraphs>55</Paragraphs>
  <TotalTime>0</TotalTime>
  <ScaleCrop>false</ScaleCrop>
  <LinksUpToDate>false</LinksUpToDate>
  <CharactersWithSpaces>23159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2022-03-30T03:18:00Z</dcterms:created>
  <dc:creator>Lenovo</dc:creator>
  <cp:lastModifiedBy>Admin</cp:lastModifiedBy>
  <cp:lastPrinted>2022-04-05T02:20:00Z</cp:lastPrinted>
  <dcterms:modified xsi:type="dcterms:W3CDTF">2024-03-14T11:39:37Z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6045BD41739C41C7AF0BEE68248D9767_13</vt:lpwstr>
  </property>
  <property fmtid="{D5CDD505-2E9C-101B-9397-08002B2CF9AE}" pid="4" name="commondata">
    <vt:lpwstr>eyJoZGlkIjoiZGNkMjhlYWViZTliNmI1MDQ3MmY5NGU2YjVhYzQxZDMifQ==</vt:lpwstr>
  </property>
</Properties>
</file>